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F008" w14:textId="553D1F4C" w:rsidR="00C97128" w:rsidRPr="00C97128" w:rsidRDefault="00D542C6" w:rsidP="00C97128">
      <w:pPr>
        <w:pStyle w:val="Title-Ting"/>
        <w:jc w:val="center"/>
        <w:rPr>
          <w:u w:val="single"/>
        </w:rPr>
      </w:pPr>
      <w:r w:rsidRPr="00FB2F01">
        <w:rPr>
          <w:u w:val="single"/>
        </w:rPr>
        <w:t>Common</w:t>
      </w:r>
      <w:r>
        <w:rPr>
          <w:u w:val="single"/>
        </w:rPr>
        <w:t xml:space="preserve"> </w:t>
      </w:r>
      <w:r w:rsidR="00E81255">
        <w:rPr>
          <w:u w:val="single"/>
        </w:rPr>
        <w:t>S</w:t>
      </w:r>
      <w:r w:rsidRPr="00FB2F01">
        <w:rPr>
          <w:u w:val="single"/>
        </w:rPr>
        <w:t>ense</w:t>
      </w:r>
      <w:r w:rsidR="00F21E13" w:rsidRPr="00FB2F01">
        <w:rPr>
          <w:u w:val="single"/>
        </w:rPr>
        <w:t xml:space="preserve"> Morality</w:t>
      </w:r>
      <w:r w:rsidR="00932E5B" w:rsidRPr="00FB2F01">
        <w:rPr>
          <w:u w:val="single"/>
        </w:rPr>
        <w:t xml:space="preserve"> </w:t>
      </w:r>
      <w:r w:rsidR="00F21E13" w:rsidRPr="00FB2F01">
        <w:rPr>
          <w:u w:val="single"/>
        </w:rPr>
        <w:t>and the Limits of Normative Control</w:t>
      </w:r>
    </w:p>
    <w:p w14:paraId="65320DE3" w14:textId="56C340C7" w:rsidR="00700E57" w:rsidRDefault="00700E57" w:rsidP="00A34897">
      <w:pPr>
        <w:spacing w:line="240" w:lineRule="auto"/>
        <w:ind w:left="720" w:right="720"/>
        <w:jc w:val="both"/>
        <w:rPr>
          <w:bCs/>
        </w:rPr>
      </w:pPr>
      <w:r w:rsidRPr="000B45F2">
        <w:rPr>
          <w:bCs/>
        </w:rPr>
        <w:t xml:space="preserve">Abstract: </w:t>
      </w:r>
      <w:r w:rsidR="001E41C0" w:rsidRPr="000B45F2">
        <w:rPr>
          <w:bCs/>
        </w:rPr>
        <w:t>What</w:t>
      </w:r>
      <w:r w:rsidR="003209EF" w:rsidRPr="000B45F2">
        <w:rPr>
          <w:bCs/>
        </w:rPr>
        <w:t xml:space="preserve"> we ought to do or what</w:t>
      </w:r>
      <w:r w:rsidR="00E82680">
        <w:rPr>
          <w:bCs/>
        </w:rPr>
        <w:t xml:space="preserve"> it</w:t>
      </w:r>
      <w:r w:rsidR="003209EF" w:rsidRPr="000B45F2">
        <w:rPr>
          <w:bCs/>
        </w:rPr>
        <w:t xml:space="preserve"> is obligatory for us to do is determined by which action(s) are backed by the most deontic weight. </w:t>
      </w:r>
      <w:r w:rsidR="001E41C0" w:rsidRPr="000B45F2">
        <w:rPr>
          <w:bCs/>
        </w:rPr>
        <w:t>Call this the weight-ought connection. Though plausible, the claim seems</w:t>
      </w:r>
      <w:r w:rsidR="003209EF" w:rsidRPr="000B45F2">
        <w:rPr>
          <w:bCs/>
        </w:rPr>
        <w:t xml:space="preserve"> to conflict</w:t>
      </w:r>
      <w:r w:rsidR="00DD1365">
        <w:rPr>
          <w:bCs/>
        </w:rPr>
        <w:t xml:space="preserve"> with</w:t>
      </w:r>
      <w:r w:rsidR="003209EF" w:rsidRPr="000B45F2">
        <w:rPr>
          <w:bCs/>
        </w:rPr>
        <w:t xml:space="preserve"> our intuition</w:t>
      </w:r>
      <w:r w:rsidR="00611CC6">
        <w:rPr>
          <w:bCs/>
        </w:rPr>
        <w:t>s</w:t>
      </w:r>
      <w:r w:rsidR="003209EF" w:rsidRPr="000B45F2">
        <w:rPr>
          <w:bCs/>
        </w:rPr>
        <w:t xml:space="preserve"> about a number of cases involving permissions and restrictions. In the paper, I </w:t>
      </w:r>
      <w:r w:rsidR="00DD1365">
        <w:rPr>
          <w:bCs/>
        </w:rPr>
        <w:t xml:space="preserve">explore </w:t>
      </w:r>
      <w:r w:rsidR="003209EF" w:rsidRPr="000B45F2">
        <w:rPr>
          <w:bCs/>
        </w:rPr>
        <w:t>a</w:t>
      </w:r>
      <w:r w:rsidR="006355CA">
        <w:rPr>
          <w:bCs/>
        </w:rPr>
        <w:t xml:space="preserve"> simple</w:t>
      </w:r>
      <w:r w:rsidR="003209EF" w:rsidRPr="000B45F2">
        <w:rPr>
          <w:bCs/>
        </w:rPr>
        <w:t xml:space="preserve"> </w:t>
      </w:r>
      <w:r w:rsidR="00A34897">
        <w:rPr>
          <w:bCs/>
        </w:rPr>
        <w:t xml:space="preserve">and theoretically neat </w:t>
      </w:r>
      <w:r w:rsidR="003209EF" w:rsidRPr="000B45F2">
        <w:rPr>
          <w:bCs/>
        </w:rPr>
        <w:t>way of squaring this platitude with our common</w:t>
      </w:r>
      <w:r w:rsidR="00D542C6">
        <w:rPr>
          <w:bCs/>
        </w:rPr>
        <w:t xml:space="preserve"> </w:t>
      </w:r>
      <w:r w:rsidR="003209EF" w:rsidRPr="000B45F2">
        <w:rPr>
          <w:bCs/>
        </w:rPr>
        <w:t>sense moral intuitions. On the Deontic Weight Strategy</w:t>
      </w:r>
      <w:r w:rsidR="004201A6">
        <w:rPr>
          <w:bCs/>
        </w:rPr>
        <w:t xml:space="preserve">, </w:t>
      </w:r>
      <w:r w:rsidRPr="000B45F2">
        <w:rPr>
          <w:bCs/>
        </w:rPr>
        <w:t>agents have a</w:t>
      </w:r>
      <w:r w:rsidR="00354B0C">
        <w:rPr>
          <w:bCs/>
        </w:rPr>
        <w:t xml:space="preserve"> limited</w:t>
      </w:r>
      <w:r w:rsidRPr="000B45F2">
        <w:rPr>
          <w:bCs/>
        </w:rPr>
        <w:t xml:space="preserve"> ability to </w:t>
      </w:r>
      <w:r w:rsidR="007C3AA5">
        <w:rPr>
          <w:bCs/>
        </w:rPr>
        <w:t>alter</w:t>
      </w:r>
      <w:r w:rsidRPr="000B45F2">
        <w:rPr>
          <w:bCs/>
        </w:rPr>
        <w:t xml:space="preserve"> the deontic weight that supports each action in a choice situation</w:t>
      </w:r>
      <w:r w:rsidR="00611CC6">
        <w:rPr>
          <w:bCs/>
        </w:rPr>
        <w:t>. This</w:t>
      </w:r>
      <w:r w:rsidR="00DD1365">
        <w:rPr>
          <w:bCs/>
        </w:rPr>
        <w:t xml:space="preserve"> allows them to control what they ought to do</w:t>
      </w:r>
      <w:r w:rsidR="00A34897">
        <w:rPr>
          <w:bCs/>
        </w:rPr>
        <w:t xml:space="preserve"> in a way that </w:t>
      </w:r>
      <w:r w:rsidR="00611CC6">
        <w:rPr>
          <w:bCs/>
        </w:rPr>
        <w:t>is consistent with our</w:t>
      </w:r>
      <w:r w:rsidR="00A34897">
        <w:rPr>
          <w:bCs/>
        </w:rPr>
        <w:t xml:space="preserve"> common</w:t>
      </w:r>
      <w:r w:rsidR="00D542C6">
        <w:rPr>
          <w:bCs/>
        </w:rPr>
        <w:t xml:space="preserve"> </w:t>
      </w:r>
      <w:r w:rsidR="00A34897">
        <w:rPr>
          <w:bCs/>
        </w:rPr>
        <w:t>sense moral intuitions</w:t>
      </w:r>
      <w:r w:rsidRPr="000B45F2">
        <w:rPr>
          <w:bCs/>
        </w:rPr>
        <w:t xml:space="preserve">. </w:t>
      </w:r>
      <w:r w:rsidR="00A34897">
        <w:rPr>
          <w:bCs/>
        </w:rPr>
        <w:t xml:space="preserve">Though promising, the </w:t>
      </w:r>
      <w:r w:rsidR="00DD1365">
        <w:rPr>
          <w:bCs/>
        </w:rPr>
        <w:t xml:space="preserve">paper examines </w:t>
      </w:r>
      <w:r w:rsidR="006355CA">
        <w:rPr>
          <w:bCs/>
        </w:rPr>
        <w:t xml:space="preserve">and critiques </w:t>
      </w:r>
      <w:r w:rsidR="00DD1365">
        <w:rPr>
          <w:bCs/>
        </w:rPr>
        <w:t>potential ground</w:t>
      </w:r>
      <w:r w:rsidR="006355CA">
        <w:rPr>
          <w:bCs/>
        </w:rPr>
        <w:t>s for</w:t>
      </w:r>
      <w:r w:rsidR="00DD1365">
        <w:rPr>
          <w:bCs/>
        </w:rPr>
        <w:t xml:space="preserve"> this ability. </w:t>
      </w:r>
      <w:r w:rsidR="006355CA">
        <w:rPr>
          <w:bCs/>
        </w:rPr>
        <w:t xml:space="preserve">I </w:t>
      </w:r>
      <w:r w:rsidR="00A34897">
        <w:rPr>
          <w:bCs/>
        </w:rPr>
        <w:t xml:space="preserve">conclude by considering </w:t>
      </w:r>
      <w:r w:rsidR="00611CC6">
        <w:rPr>
          <w:bCs/>
        </w:rPr>
        <w:t xml:space="preserve">more radical alternatives if the </w:t>
      </w:r>
      <w:r w:rsidR="00A34897">
        <w:rPr>
          <w:bCs/>
        </w:rPr>
        <w:t>Deontic Weight Strateg</w:t>
      </w:r>
      <w:r w:rsidR="00611CC6">
        <w:rPr>
          <w:bCs/>
        </w:rPr>
        <w:t>y is ultimately untenable.</w:t>
      </w:r>
    </w:p>
    <w:p w14:paraId="42E81EF4" w14:textId="737FB7C1" w:rsidR="00A6059F" w:rsidRDefault="00A6059F" w:rsidP="00880ACB">
      <w:pPr>
        <w:spacing w:line="240" w:lineRule="auto"/>
        <w:ind w:left="720" w:right="720"/>
        <w:jc w:val="both"/>
        <w:rPr>
          <w:bCs/>
        </w:rPr>
      </w:pPr>
      <w:r>
        <w:rPr>
          <w:bCs/>
        </w:rPr>
        <w:t>Keywords: Normative Ethics, Common</w:t>
      </w:r>
      <w:r w:rsidR="00D542C6">
        <w:rPr>
          <w:bCs/>
        </w:rPr>
        <w:t xml:space="preserve"> </w:t>
      </w:r>
      <w:r>
        <w:rPr>
          <w:bCs/>
        </w:rPr>
        <w:t>sense Morality, Reasons, Deontic Weight</w:t>
      </w:r>
    </w:p>
    <w:p w14:paraId="05B96A18" w14:textId="24E68FE3" w:rsidR="008E250D" w:rsidRDefault="008E250D" w:rsidP="00880ACB">
      <w:pPr>
        <w:spacing w:line="240" w:lineRule="auto"/>
        <w:ind w:left="720" w:right="720"/>
        <w:jc w:val="both"/>
        <w:rPr>
          <w:bCs/>
        </w:rPr>
      </w:pPr>
      <w:r>
        <w:rPr>
          <w:bCs/>
        </w:rPr>
        <w:t>[Word Count: 9561]</w:t>
      </w:r>
    </w:p>
    <w:p w14:paraId="067FC406" w14:textId="77777777" w:rsidR="00001C4C" w:rsidRDefault="00001C4C" w:rsidP="00880ACB">
      <w:pPr>
        <w:pStyle w:val="Roeber-HeadingA"/>
        <w:jc w:val="both"/>
      </w:pPr>
    </w:p>
    <w:p w14:paraId="1C4D692A" w14:textId="77777777" w:rsidR="00001C4C" w:rsidRDefault="00001C4C" w:rsidP="00880ACB">
      <w:pPr>
        <w:pStyle w:val="Roeber-HeadingA"/>
        <w:jc w:val="both"/>
      </w:pPr>
    </w:p>
    <w:p w14:paraId="7BE41460" w14:textId="77777777" w:rsidR="00001C4C" w:rsidRDefault="00001C4C" w:rsidP="00880ACB">
      <w:pPr>
        <w:pStyle w:val="Roeber-HeadingA"/>
        <w:jc w:val="both"/>
      </w:pPr>
    </w:p>
    <w:p w14:paraId="1913C172" w14:textId="77777777" w:rsidR="00001C4C" w:rsidRDefault="00001C4C" w:rsidP="00880ACB">
      <w:pPr>
        <w:pStyle w:val="Roeber-HeadingA"/>
        <w:jc w:val="both"/>
      </w:pPr>
    </w:p>
    <w:p w14:paraId="299E403D" w14:textId="77777777" w:rsidR="00001C4C" w:rsidRDefault="00001C4C" w:rsidP="00880ACB">
      <w:pPr>
        <w:pStyle w:val="Roeber-HeadingA"/>
        <w:jc w:val="both"/>
      </w:pPr>
    </w:p>
    <w:p w14:paraId="74BD8005" w14:textId="77777777" w:rsidR="00001C4C" w:rsidRDefault="00001C4C" w:rsidP="00880ACB">
      <w:pPr>
        <w:pStyle w:val="Roeber-HeadingA"/>
        <w:jc w:val="both"/>
      </w:pPr>
    </w:p>
    <w:p w14:paraId="06FBB26A" w14:textId="77777777" w:rsidR="00001C4C" w:rsidRDefault="00001C4C" w:rsidP="00880ACB">
      <w:pPr>
        <w:pStyle w:val="Roeber-HeadingA"/>
        <w:jc w:val="both"/>
      </w:pPr>
    </w:p>
    <w:p w14:paraId="51593A16" w14:textId="77777777" w:rsidR="00001C4C" w:rsidRDefault="00001C4C" w:rsidP="00880ACB">
      <w:pPr>
        <w:pStyle w:val="Roeber-HeadingA"/>
        <w:jc w:val="both"/>
      </w:pPr>
    </w:p>
    <w:p w14:paraId="5A2C663B" w14:textId="77777777" w:rsidR="00001C4C" w:rsidRDefault="00001C4C" w:rsidP="00880ACB">
      <w:pPr>
        <w:pStyle w:val="Roeber-HeadingA"/>
        <w:jc w:val="both"/>
      </w:pPr>
    </w:p>
    <w:p w14:paraId="189B2521" w14:textId="1D2EE250" w:rsidR="00001C4C" w:rsidRDefault="00001C4C" w:rsidP="00880ACB">
      <w:pPr>
        <w:pStyle w:val="Roeber-HeadingA"/>
        <w:jc w:val="both"/>
      </w:pPr>
    </w:p>
    <w:p w14:paraId="2AACDB79" w14:textId="77777777" w:rsidR="00E3493B" w:rsidRPr="00E3493B" w:rsidRDefault="00E3493B" w:rsidP="00E3493B">
      <w:pPr>
        <w:rPr>
          <w:lang w:val="en-GB" w:eastAsia="en-GB"/>
        </w:rPr>
      </w:pPr>
    </w:p>
    <w:p w14:paraId="76393757" w14:textId="346EC57D" w:rsidR="00786ADC" w:rsidRPr="00FB2F01" w:rsidRDefault="00786ADC" w:rsidP="00880ACB">
      <w:pPr>
        <w:pStyle w:val="Roeber-HeadingA"/>
        <w:jc w:val="both"/>
      </w:pPr>
      <w:r w:rsidRPr="00FB2F01">
        <w:lastRenderedPageBreak/>
        <w:t xml:space="preserve">Introduction </w:t>
      </w:r>
    </w:p>
    <w:p w14:paraId="149AB7B5" w14:textId="26EA3EBD" w:rsidR="00786ADC" w:rsidRPr="000B45F2" w:rsidRDefault="00F45099" w:rsidP="00880ACB">
      <w:pPr>
        <w:jc w:val="both"/>
        <w:rPr>
          <w:bCs/>
          <w:lang w:val="en-GB" w:eastAsia="en-GB"/>
        </w:rPr>
      </w:pPr>
      <w:r w:rsidRPr="000B45F2">
        <w:rPr>
          <w:bCs/>
          <w:lang w:val="en-GB" w:eastAsia="en-GB"/>
        </w:rPr>
        <w:t xml:space="preserve">Consider the following </w:t>
      </w:r>
      <w:r w:rsidR="00543EA9">
        <w:rPr>
          <w:bCs/>
          <w:lang w:val="en-GB" w:eastAsia="en-GB"/>
        </w:rPr>
        <w:t xml:space="preserve">initially plausible </w:t>
      </w:r>
      <w:r w:rsidRPr="000B45F2">
        <w:rPr>
          <w:bCs/>
          <w:lang w:val="en-GB" w:eastAsia="en-GB"/>
        </w:rPr>
        <w:t>claim:</w:t>
      </w:r>
      <w:r w:rsidR="00094E6B" w:rsidRPr="000B45F2">
        <w:rPr>
          <w:bCs/>
          <w:lang w:val="en-GB" w:eastAsia="en-GB"/>
        </w:rPr>
        <w:t xml:space="preserve"> what we ought to do or what it is obligatory for us to do is determined by which action</w:t>
      </w:r>
      <w:r w:rsidR="003209EF" w:rsidRPr="000B45F2">
        <w:rPr>
          <w:bCs/>
          <w:lang w:val="en-GB" w:eastAsia="en-GB"/>
        </w:rPr>
        <w:t xml:space="preserve">(s) </w:t>
      </w:r>
      <w:r w:rsidR="00094E6B" w:rsidRPr="000B45F2">
        <w:rPr>
          <w:bCs/>
          <w:lang w:val="en-GB" w:eastAsia="en-GB"/>
        </w:rPr>
        <w:t>are backed by the most deontic weight</w:t>
      </w:r>
      <w:r w:rsidR="005059C5" w:rsidRPr="000B45F2">
        <w:rPr>
          <w:bCs/>
          <w:lang w:val="en-GB" w:eastAsia="en-GB"/>
        </w:rPr>
        <w:t>.</w:t>
      </w:r>
      <w:r w:rsidR="00262156" w:rsidRPr="000B45F2">
        <w:rPr>
          <w:rStyle w:val="FootnoteReference"/>
          <w:bCs/>
          <w:lang w:val="en-GB" w:eastAsia="en-GB"/>
        </w:rPr>
        <w:footnoteReference w:id="1"/>
      </w:r>
      <w:r w:rsidR="00262156" w:rsidRPr="000B45F2">
        <w:rPr>
          <w:bCs/>
          <w:lang w:val="en-GB" w:eastAsia="en-GB"/>
        </w:rPr>
        <w:t xml:space="preserve"> Call this the weight-ought connection.</w:t>
      </w:r>
      <w:r w:rsidR="00262156" w:rsidRPr="000B45F2">
        <w:rPr>
          <w:rStyle w:val="FootnoteReference"/>
          <w:bCs/>
        </w:rPr>
        <w:footnoteReference w:id="2"/>
      </w:r>
      <w:r w:rsidR="00BC0AC2" w:rsidRPr="000B45F2">
        <w:rPr>
          <w:bCs/>
          <w:lang w:val="en-GB" w:eastAsia="en-GB"/>
        </w:rPr>
        <w:t xml:space="preserve"> </w:t>
      </w:r>
      <w:r w:rsidR="00C64FFC">
        <w:rPr>
          <w:bCs/>
          <w:lang w:val="en-GB" w:eastAsia="en-GB"/>
        </w:rPr>
        <w:t>But now c</w:t>
      </w:r>
      <w:r w:rsidR="00CE6CF1" w:rsidRPr="000B45F2">
        <w:rPr>
          <w:bCs/>
          <w:lang w:val="en-GB" w:eastAsia="en-GB"/>
        </w:rPr>
        <w:t xml:space="preserve">onsider </w:t>
      </w:r>
      <w:r w:rsidR="00C6236A" w:rsidRPr="000B45F2">
        <w:rPr>
          <w:bCs/>
          <w:lang w:val="en-GB" w:eastAsia="en-GB"/>
        </w:rPr>
        <w:t>our</w:t>
      </w:r>
      <w:r w:rsidR="00061E6A" w:rsidRPr="000B45F2">
        <w:rPr>
          <w:bCs/>
          <w:lang w:val="en-GB" w:eastAsia="en-GB"/>
        </w:rPr>
        <w:t xml:space="preserve"> </w:t>
      </w:r>
      <w:r w:rsidR="00D542C6" w:rsidRPr="000B45F2">
        <w:rPr>
          <w:bCs/>
          <w:lang w:val="en-GB" w:eastAsia="en-GB"/>
        </w:rPr>
        <w:t>common</w:t>
      </w:r>
      <w:r w:rsidR="00D542C6">
        <w:rPr>
          <w:bCs/>
          <w:lang w:val="en-GB" w:eastAsia="en-GB"/>
        </w:rPr>
        <w:t xml:space="preserve"> </w:t>
      </w:r>
      <w:r w:rsidR="00D542C6" w:rsidRPr="000B45F2">
        <w:rPr>
          <w:bCs/>
          <w:lang w:val="en-GB" w:eastAsia="en-GB"/>
        </w:rPr>
        <w:t>sense</w:t>
      </w:r>
      <w:r w:rsidR="00061E6A" w:rsidRPr="000B45F2">
        <w:rPr>
          <w:bCs/>
          <w:lang w:val="en-GB" w:eastAsia="en-GB"/>
        </w:rPr>
        <w:t xml:space="preserve"> moral</w:t>
      </w:r>
      <w:r w:rsidR="00C6236A" w:rsidRPr="000B45F2">
        <w:rPr>
          <w:bCs/>
          <w:lang w:val="en-GB" w:eastAsia="en-GB"/>
        </w:rPr>
        <w:t xml:space="preserve"> intuitions about </w:t>
      </w:r>
      <w:r w:rsidR="00061E6A" w:rsidRPr="000B45F2">
        <w:rPr>
          <w:bCs/>
          <w:lang w:val="en-GB" w:eastAsia="en-GB"/>
        </w:rPr>
        <w:t>the following cases</w:t>
      </w:r>
      <w:r w:rsidR="00094E6B" w:rsidRPr="000B45F2">
        <w:rPr>
          <w:bCs/>
          <w:lang w:val="en-GB" w:eastAsia="en-GB"/>
        </w:rPr>
        <w:t>:</w:t>
      </w:r>
      <w:r w:rsidR="004D1BCD" w:rsidRPr="000B45F2">
        <w:rPr>
          <w:rStyle w:val="FootnoteReference"/>
          <w:bCs/>
          <w:lang w:val="en-GB" w:eastAsia="en-GB"/>
        </w:rPr>
        <w:footnoteReference w:id="3"/>
      </w:r>
      <w:r w:rsidR="00E76444" w:rsidRPr="000B45F2">
        <w:rPr>
          <w:bCs/>
          <w:lang w:val="en-GB" w:eastAsia="en-GB"/>
        </w:rPr>
        <w:t xml:space="preserve"> </w:t>
      </w:r>
    </w:p>
    <w:p w14:paraId="6F6BA3BD" w14:textId="6A632B66" w:rsidR="00E76444" w:rsidRPr="000B45F2" w:rsidRDefault="00674546" w:rsidP="00880ACB">
      <w:pPr>
        <w:pStyle w:val="Ting-CasePremise"/>
        <w:jc w:val="both"/>
        <w:rPr>
          <w:bCs/>
        </w:rPr>
      </w:pPr>
      <w:r w:rsidRPr="00FB2F01">
        <w:rPr>
          <w:b/>
        </w:rPr>
        <w:t>Exercise</w:t>
      </w:r>
      <w:r w:rsidR="00E76444" w:rsidRPr="00FB2F01">
        <w:rPr>
          <w:b/>
        </w:rPr>
        <w:t xml:space="preserve"> or Couch</w:t>
      </w:r>
      <w:r w:rsidR="00E76444" w:rsidRPr="000B45F2">
        <w:rPr>
          <w:bCs/>
        </w:rPr>
        <w:t xml:space="preserve">: I </w:t>
      </w:r>
      <w:r w:rsidR="007156E5" w:rsidRPr="000B45F2">
        <w:rPr>
          <w:bCs/>
        </w:rPr>
        <w:t xml:space="preserve">am physically able to exercise and </w:t>
      </w:r>
      <w:r w:rsidR="00E76444" w:rsidRPr="000B45F2">
        <w:rPr>
          <w:bCs/>
        </w:rPr>
        <w:t xml:space="preserve">know that </w:t>
      </w:r>
      <w:r w:rsidR="00131686" w:rsidRPr="000B45F2">
        <w:rPr>
          <w:bCs/>
        </w:rPr>
        <w:t>doing so would be good for</w:t>
      </w:r>
      <w:r w:rsidR="009F21B1" w:rsidRPr="000B45F2">
        <w:rPr>
          <w:bCs/>
        </w:rPr>
        <w:t xml:space="preserve"> my</w:t>
      </w:r>
      <w:r w:rsidR="00E76444" w:rsidRPr="000B45F2">
        <w:rPr>
          <w:bCs/>
        </w:rPr>
        <w:t xml:space="preserve"> long-term health. Yet, it</w:t>
      </w:r>
      <w:r w:rsidR="00742317" w:rsidRPr="000B45F2">
        <w:rPr>
          <w:bCs/>
        </w:rPr>
        <w:t xml:space="preserve"> is</w:t>
      </w:r>
      <w:r w:rsidR="00E76444" w:rsidRPr="000B45F2">
        <w:rPr>
          <w:bCs/>
        </w:rPr>
        <w:t xml:space="preserve"> permissible for me to</w:t>
      </w:r>
      <w:r w:rsidR="002E54DF" w:rsidRPr="000B45F2">
        <w:rPr>
          <w:bCs/>
        </w:rPr>
        <w:t xml:space="preserve"> either exercise or</w:t>
      </w:r>
      <w:r w:rsidR="00E76444" w:rsidRPr="000B45F2">
        <w:rPr>
          <w:bCs/>
        </w:rPr>
        <w:t xml:space="preserve"> lay on my co</w:t>
      </w:r>
      <w:r w:rsidRPr="000B45F2">
        <w:rPr>
          <w:bCs/>
        </w:rPr>
        <w:t>uch</w:t>
      </w:r>
      <w:r w:rsidR="002E54DF" w:rsidRPr="000B45F2">
        <w:rPr>
          <w:bCs/>
        </w:rPr>
        <w:t>.</w:t>
      </w:r>
    </w:p>
    <w:p w14:paraId="7BE6B086" w14:textId="6E52F1FE" w:rsidR="00E76444" w:rsidRPr="000B45F2" w:rsidRDefault="00306A53" w:rsidP="00880ACB">
      <w:pPr>
        <w:pStyle w:val="Ting-CasePremise"/>
        <w:jc w:val="both"/>
        <w:rPr>
          <w:bCs/>
        </w:rPr>
      </w:pPr>
      <w:r w:rsidRPr="00FB2F01">
        <w:rPr>
          <w:b/>
        </w:rPr>
        <w:t>My Arm</w:t>
      </w:r>
      <w:r w:rsidR="00E76444" w:rsidRPr="000B45F2">
        <w:rPr>
          <w:bCs/>
        </w:rPr>
        <w:t>: A machine is about to</w:t>
      </w:r>
      <w:r w:rsidR="00643065" w:rsidRPr="000B45F2">
        <w:rPr>
          <w:bCs/>
        </w:rPr>
        <w:t xml:space="preserve"> painfully</w:t>
      </w:r>
      <w:r w:rsidR="00E76444" w:rsidRPr="000B45F2">
        <w:rPr>
          <w:bCs/>
        </w:rPr>
        <w:t xml:space="preserve"> maim three strangers</w:t>
      </w:r>
      <w:r w:rsidR="00A94B8F" w:rsidRPr="000B45F2">
        <w:rPr>
          <w:bCs/>
        </w:rPr>
        <w:t>’ arms</w:t>
      </w:r>
      <w:r w:rsidR="00E76444" w:rsidRPr="000B45F2">
        <w:rPr>
          <w:bCs/>
        </w:rPr>
        <w:t xml:space="preserve">. The only thing I can do to stop </w:t>
      </w:r>
      <w:r w:rsidR="005C634D" w:rsidRPr="000B45F2">
        <w:rPr>
          <w:bCs/>
        </w:rPr>
        <w:t>it</w:t>
      </w:r>
      <w:r w:rsidR="00E76444" w:rsidRPr="000B45F2">
        <w:rPr>
          <w:bCs/>
        </w:rPr>
        <w:t xml:space="preserve"> is to jam my own arm into it. Unfortunately, this will </w:t>
      </w:r>
      <w:r w:rsidR="000E1A11" w:rsidRPr="000B45F2">
        <w:rPr>
          <w:bCs/>
        </w:rPr>
        <w:t>lead to the painful loss of my</w:t>
      </w:r>
      <w:r w:rsidR="00E76444" w:rsidRPr="000B45F2">
        <w:rPr>
          <w:bCs/>
        </w:rPr>
        <w:t xml:space="preserve"> arm. I am permitted</w:t>
      </w:r>
      <w:r w:rsidR="0058739F" w:rsidRPr="000B45F2">
        <w:rPr>
          <w:bCs/>
        </w:rPr>
        <w:t xml:space="preserve"> to either sacrifice or </w:t>
      </w:r>
      <w:r w:rsidR="00C81355" w:rsidRPr="000B45F2">
        <w:rPr>
          <w:bCs/>
        </w:rPr>
        <w:t>preserve</w:t>
      </w:r>
      <w:r w:rsidR="00896147" w:rsidRPr="000B45F2">
        <w:rPr>
          <w:bCs/>
        </w:rPr>
        <w:t xml:space="preserve"> my arm</w:t>
      </w:r>
      <w:r w:rsidR="00E76444" w:rsidRPr="000B45F2">
        <w:rPr>
          <w:bCs/>
        </w:rPr>
        <w:t xml:space="preserve">. </w:t>
      </w:r>
    </w:p>
    <w:p w14:paraId="3DD39AC3" w14:textId="6BD76804" w:rsidR="00E76444" w:rsidRPr="000B45F2" w:rsidRDefault="00306A53" w:rsidP="00880ACB">
      <w:pPr>
        <w:pStyle w:val="Ting-CasePremise"/>
        <w:jc w:val="both"/>
        <w:rPr>
          <w:bCs/>
        </w:rPr>
      </w:pPr>
      <w:r w:rsidRPr="00FB2F01">
        <w:rPr>
          <w:b/>
        </w:rPr>
        <w:t>Your Arm</w:t>
      </w:r>
      <w:r w:rsidRPr="000B45F2">
        <w:rPr>
          <w:bCs/>
        </w:rPr>
        <w:t>:</w:t>
      </w:r>
      <w:r w:rsidR="00E76444" w:rsidRPr="000B45F2">
        <w:rPr>
          <w:bCs/>
        </w:rPr>
        <w:t xml:space="preserve"> </w:t>
      </w:r>
      <w:r w:rsidR="00A94B8F" w:rsidRPr="000B45F2">
        <w:rPr>
          <w:bCs/>
        </w:rPr>
        <w:t xml:space="preserve">A machine is about to painfully maim three strangers’ arms. </w:t>
      </w:r>
      <w:r w:rsidR="005F3082" w:rsidRPr="000B45F2">
        <w:rPr>
          <w:bCs/>
        </w:rPr>
        <w:t>I am sitting in a control tower as an onlooker. If I push a button, it will activate a mechanism that will jam your arm into the machine</w:t>
      </w:r>
      <w:r w:rsidR="003172C7" w:rsidRPr="000B45F2">
        <w:rPr>
          <w:bCs/>
        </w:rPr>
        <w:t xml:space="preserve"> which</w:t>
      </w:r>
      <w:r w:rsidR="00643065" w:rsidRPr="000B45F2">
        <w:rPr>
          <w:bCs/>
        </w:rPr>
        <w:t xml:space="preserve"> will painfully destroy it</w:t>
      </w:r>
      <w:r w:rsidR="003172C7" w:rsidRPr="000B45F2">
        <w:rPr>
          <w:bCs/>
        </w:rPr>
        <w:t xml:space="preserve"> </w:t>
      </w:r>
      <w:r w:rsidR="00643065" w:rsidRPr="000B45F2">
        <w:rPr>
          <w:bCs/>
        </w:rPr>
        <w:t xml:space="preserve">in a way </w:t>
      </w:r>
      <w:r w:rsidR="00A94B8F" w:rsidRPr="000B45F2">
        <w:rPr>
          <w:bCs/>
        </w:rPr>
        <w:t xml:space="preserve">that is required to </w:t>
      </w:r>
      <w:r w:rsidR="00D94177" w:rsidRPr="000B45F2">
        <w:rPr>
          <w:bCs/>
        </w:rPr>
        <w:t xml:space="preserve">prevent the painful </w:t>
      </w:r>
      <w:r w:rsidR="00DB7F93" w:rsidRPr="000B45F2">
        <w:rPr>
          <w:bCs/>
        </w:rPr>
        <w:t xml:space="preserve">maiming </w:t>
      </w:r>
      <w:r w:rsidR="00D94177" w:rsidRPr="000B45F2">
        <w:rPr>
          <w:bCs/>
        </w:rPr>
        <w:t xml:space="preserve">of </w:t>
      </w:r>
      <w:r w:rsidR="00DB7F93" w:rsidRPr="000B45F2">
        <w:rPr>
          <w:bCs/>
        </w:rPr>
        <w:t>th</w:t>
      </w:r>
      <w:r w:rsidR="00A94B8F" w:rsidRPr="000B45F2">
        <w:rPr>
          <w:bCs/>
        </w:rPr>
        <w:t>e</w:t>
      </w:r>
      <w:r w:rsidR="00DB7F93" w:rsidRPr="000B45F2">
        <w:rPr>
          <w:bCs/>
        </w:rPr>
        <w:t xml:space="preserve"> strange</w:t>
      </w:r>
      <w:r w:rsidR="00D54265" w:rsidRPr="000B45F2">
        <w:rPr>
          <w:bCs/>
        </w:rPr>
        <w:t>r</w:t>
      </w:r>
      <w:r w:rsidR="00DB7F93" w:rsidRPr="000B45F2">
        <w:rPr>
          <w:bCs/>
        </w:rPr>
        <w:t>s</w:t>
      </w:r>
      <w:r w:rsidR="003172C7" w:rsidRPr="000B45F2">
        <w:rPr>
          <w:bCs/>
        </w:rPr>
        <w:t>. I ought not to press the button</w:t>
      </w:r>
      <w:r w:rsidR="009F21B1" w:rsidRPr="000B45F2">
        <w:rPr>
          <w:bCs/>
        </w:rPr>
        <w:t xml:space="preserve">. </w:t>
      </w:r>
    </w:p>
    <w:p w14:paraId="3FFC0E73" w14:textId="64281E38" w:rsidR="00535032" w:rsidRPr="000B45F2" w:rsidRDefault="00094E6B" w:rsidP="00880ACB">
      <w:pPr>
        <w:jc w:val="both"/>
        <w:rPr>
          <w:bCs/>
        </w:rPr>
      </w:pPr>
      <w:r w:rsidRPr="000B45F2">
        <w:rPr>
          <w:bCs/>
        </w:rPr>
        <w:t>A</w:t>
      </w:r>
      <w:r w:rsidR="00C64FFC">
        <w:rPr>
          <w:bCs/>
        </w:rPr>
        <w:t>ccording to the weight-ought connection, a</w:t>
      </w:r>
      <w:r w:rsidRPr="000B45F2">
        <w:rPr>
          <w:bCs/>
        </w:rPr>
        <w:t>ssuming</w:t>
      </w:r>
      <w:r w:rsidR="00513D0E" w:rsidRPr="000B45F2">
        <w:rPr>
          <w:bCs/>
        </w:rPr>
        <w:t xml:space="preserve"> that the goodness of an</w:t>
      </w:r>
      <w:r w:rsidR="009565AF">
        <w:rPr>
          <w:bCs/>
        </w:rPr>
        <w:t xml:space="preserve"> action’s</w:t>
      </w:r>
      <w:r w:rsidR="00513D0E" w:rsidRPr="000B45F2">
        <w:rPr>
          <w:bCs/>
        </w:rPr>
        <w:t xml:space="preserve"> outcome provides </w:t>
      </w:r>
      <w:r w:rsidR="000D2792" w:rsidRPr="000B45F2">
        <w:rPr>
          <w:bCs/>
        </w:rPr>
        <w:t>significant deontic weight to do it</w:t>
      </w:r>
      <w:r w:rsidR="00513D0E" w:rsidRPr="000B45F2">
        <w:rPr>
          <w:bCs/>
        </w:rPr>
        <w:t xml:space="preserve">, </w:t>
      </w:r>
      <w:r w:rsidR="000D2792" w:rsidRPr="000B45F2">
        <w:rPr>
          <w:bCs/>
        </w:rPr>
        <w:t>it seems that I thereby ought to</w:t>
      </w:r>
      <w:r w:rsidR="00B908C5" w:rsidRPr="000B45F2">
        <w:rPr>
          <w:bCs/>
        </w:rPr>
        <w:t xml:space="preserve"> </w:t>
      </w:r>
      <w:r w:rsidR="0035714A">
        <w:rPr>
          <w:bCs/>
        </w:rPr>
        <w:t xml:space="preserve">(or am even obligated to) </w:t>
      </w:r>
      <w:r w:rsidR="00674546" w:rsidRPr="000B45F2">
        <w:rPr>
          <w:bCs/>
        </w:rPr>
        <w:t>exercise</w:t>
      </w:r>
      <w:r w:rsidR="00AF3255" w:rsidRPr="000B45F2">
        <w:rPr>
          <w:bCs/>
        </w:rPr>
        <w:t>, sacrifice my arm, and</w:t>
      </w:r>
      <w:r w:rsidR="003172C7" w:rsidRPr="000B45F2">
        <w:rPr>
          <w:bCs/>
        </w:rPr>
        <w:t xml:space="preserve"> to press the button to </w:t>
      </w:r>
      <w:r w:rsidR="00790E19" w:rsidRPr="000B45F2">
        <w:rPr>
          <w:bCs/>
        </w:rPr>
        <w:t>sacrifice</w:t>
      </w:r>
      <w:r w:rsidR="003172C7" w:rsidRPr="000B45F2">
        <w:rPr>
          <w:bCs/>
        </w:rPr>
        <w:t xml:space="preserve"> your arm</w:t>
      </w:r>
      <w:r w:rsidR="00AF3255" w:rsidRPr="000B45F2">
        <w:rPr>
          <w:bCs/>
        </w:rPr>
        <w:t xml:space="preserve">. </w:t>
      </w:r>
      <w:r w:rsidR="008A085B" w:rsidRPr="000B45F2">
        <w:rPr>
          <w:bCs/>
        </w:rPr>
        <w:t xml:space="preserve">Yet, </w:t>
      </w:r>
      <w:r w:rsidR="00C64FFC">
        <w:rPr>
          <w:bCs/>
        </w:rPr>
        <w:t>this goes against our above intuitions</w:t>
      </w:r>
      <w:r w:rsidR="00535032" w:rsidRPr="000B45F2">
        <w:rPr>
          <w:bCs/>
        </w:rPr>
        <w:t xml:space="preserve">. </w:t>
      </w:r>
      <w:r w:rsidR="001F7DB8" w:rsidRPr="000B45F2">
        <w:rPr>
          <w:bCs/>
        </w:rPr>
        <w:t xml:space="preserve">This paper </w:t>
      </w:r>
      <w:r w:rsidR="00E74219">
        <w:rPr>
          <w:bCs/>
        </w:rPr>
        <w:t xml:space="preserve">will develop and assess </w:t>
      </w:r>
      <w:r w:rsidR="00567247">
        <w:rPr>
          <w:bCs/>
        </w:rPr>
        <w:t xml:space="preserve">what I will call the Deontic Weight Strategy </w:t>
      </w:r>
      <w:r w:rsidRPr="000B45F2">
        <w:rPr>
          <w:bCs/>
        </w:rPr>
        <w:t xml:space="preserve">for reconciling </w:t>
      </w:r>
      <w:r w:rsidR="005059C5" w:rsidRPr="000B45F2">
        <w:rPr>
          <w:bCs/>
        </w:rPr>
        <w:t>the weight-ought connection</w:t>
      </w:r>
      <w:r w:rsidR="00C64FFC">
        <w:rPr>
          <w:bCs/>
        </w:rPr>
        <w:t xml:space="preserve"> with </w:t>
      </w:r>
      <w:r w:rsidR="00C64FFC" w:rsidRPr="000B45F2">
        <w:rPr>
          <w:bCs/>
        </w:rPr>
        <w:t>our intuitions about the above cases</w:t>
      </w:r>
      <w:r w:rsidR="00C64FFC">
        <w:rPr>
          <w:bCs/>
        </w:rPr>
        <w:t>.</w:t>
      </w:r>
    </w:p>
    <w:p w14:paraId="3E32DFBA" w14:textId="5DFBAFC8" w:rsidR="000D2792" w:rsidRPr="000B45F2" w:rsidRDefault="007B4575" w:rsidP="00880ACB">
      <w:pPr>
        <w:jc w:val="both"/>
        <w:rPr>
          <w:bCs/>
        </w:rPr>
      </w:pPr>
      <w:r>
        <w:rPr>
          <w:bCs/>
        </w:rPr>
        <w:t>The Deontic Weight Strategy</w:t>
      </w:r>
      <w:r w:rsidR="00535032" w:rsidRPr="000B45F2">
        <w:rPr>
          <w:bCs/>
        </w:rPr>
        <w:t xml:space="preserve">, </w:t>
      </w:r>
      <w:r w:rsidR="00567247">
        <w:rPr>
          <w:bCs/>
        </w:rPr>
        <w:t>which is</w:t>
      </w:r>
      <w:r w:rsidR="00D577D9">
        <w:rPr>
          <w:bCs/>
        </w:rPr>
        <w:t xml:space="preserve"> partly</w:t>
      </w:r>
      <w:r w:rsidR="00567247">
        <w:rPr>
          <w:bCs/>
        </w:rPr>
        <w:t xml:space="preserve"> inspired by </w:t>
      </w:r>
      <w:r w:rsidR="000674B2">
        <w:rPr>
          <w:bCs/>
        </w:rPr>
        <w:t>arguments from</w:t>
      </w:r>
      <w:r w:rsidR="00567247">
        <w:rPr>
          <w:bCs/>
        </w:rPr>
        <w:t xml:space="preserve"> Dancy (199</w:t>
      </w:r>
      <w:r w:rsidR="00015C06">
        <w:rPr>
          <w:bCs/>
        </w:rPr>
        <w:t>3</w:t>
      </w:r>
      <w:r w:rsidR="00567247">
        <w:rPr>
          <w:bCs/>
        </w:rPr>
        <w:t xml:space="preserve">), Kagan (1989), and Worsnip (2018) among others, </w:t>
      </w:r>
      <w:r w:rsidR="00B45D1B">
        <w:rPr>
          <w:bCs/>
        </w:rPr>
        <w:t>states that we</w:t>
      </w:r>
      <w:r w:rsidR="000D2792" w:rsidRPr="000B45F2">
        <w:rPr>
          <w:bCs/>
        </w:rPr>
        <w:t xml:space="preserve"> </w:t>
      </w:r>
      <w:r w:rsidR="002447B2">
        <w:rPr>
          <w:bCs/>
        </w:rPr>
        <w:t>have</w:t>
      </w:r>
      <w:r w:rsidR="00C11AC0">
        <w:rPr>
          <w:bCs/>
        </w:rPr>
        <w:t xml:space="preserve"> significant</w:t>
      </w:r>
      <w:r w:rsidR="002447B2">
        <w:rPr>
          <w:bCs/>
        </w:rPr>
        <w:t xml:space="preserve"> control over our obligations and what we ought to do through a</w:t>
      </w:r>
      <w:r w:rsidR="00BC0AC2" w:rsidRPr="000B45F2">
        <w:rPr>
          <w:bCs/>
        </w:rPr>
        <w:t xml:space="preserve"> limited ability to </w:t>
      </w:r>
      <w:r w:rsidR="00E1299B" w:rsidRPr="000B45F2">
        <w:rPr>
          <w:bCs/>
        </w:rPr>
        <w:t>ad</w:t>
      </w:r>
      <w:r w:rsidR="00FA12C1" w:rsidRPr="000B45F2">
        <w:rPr>
          <w:bCs/>
        </w:rPr>
        <w:t>d</w:t>
      </w:r>
      <w:r w:rsidR="00E1299B" w:rsidRPr="000B45F2">
        <w:rPr>
          <w:bCs/>
        </w:rPr>
        <w:t xml:space="preserve"> </w:t>
      </w:r>
      <w:r w:rsidR="00BC0AC2" w:rsidRPr="000B45F2">
        <w:rPr>
          <w:bCs/>
        </w:rPr>
        <w:t xml:space="preserve">to or subtract from the </w:t>
      </w:r>
      <w:r w:rsidR="00535032" w:rsidRPr="000B45F2">
        <w:rPr>
          <w:bCs/>
        </w:rPr>
        <w:t>deontic weigh</w:t>
      </w:r>
      <w:r w:rsidR="00171E82" w:rsidRPr="000B45F2">
        <w:rPr>
          <w:bCs/>
        </w:rPr>
        <w:t>t</w:t>
      </w:r>
      <w:r w:rsidR="00535032" w:rsidRPr="000B45F2">
        <w:rPr>
          <w:bCs/>
        </w:rPr>
        <w:t xml:space="preserve"> attached </w:t>
      </w:r>
      <w:r w:rsidR="00E1299B" w:rsidRPr="000B45F2">
        <w:rPr>
          <w:bCs/>
        </w:rPr>
        <w:lastRenderedPageBreak/>
        <w:t xml:space="preserve">to </w:t>
      </w:r>
      <w:r w:rsidR="00FA12C1" w:rsidRPr="000B45F2">
        <w:rPr>
          <w:bCs/>
        </w:rPr>
        <w:t>various actions in a choice situation</w:t>
      </w:r>
      <w:r w:rsidR="00E1299B" w:rsidRPr="000B45F2">
        <w:rPr>
          <w:bCs/>
        </w:rPr>
        <w:t>.</w:t>
      </w:r>
      <w:r w:rsidR="00567247" w:rsidRPr="000B45F2">
        <w:rPr>
          <w:rStyle w:val="FootnoteReference"/>
          <w:bCs/>
        </w:rPr>
        <w:footnoteReference w:id="4"/>
      </w:r>
      <w:r w:rsidR="000D2792" w:rsidRPr="000B45F2">
        <w:rPr>
          <w:bCs/>
        </w:rPr>
        <w:t xml:space="preserve"> </w:t>
      </w:r>
      <w:r w:rsidR="00184E22">
        <w:rPr>
          <w:bCs/>
        </w:rPr>
        <w:t>For example, we can create</w:t>
      </w:r>
      <w:r w:rsidR="00184E22" w:rsidRPr="000B45F2">
        <w:rPr>
          <w:bCs/>
        </w:rPr>
        <w:t xml:space="preserve"> atelic reasons, will-based reasons, </w:t>
      </w:r>
      <w:r w:rsidR="00184E22">
        <w:rPr>
          <w:bCs/>
        </w:rPr>
        <w:t>or increase</w:t>
      </w:r>
      <w:r w:rsidR="00D60E53">
        <w:rPr>
          <w:bCs/>
        </w:rPr>
        <w:t>/</w:t>
      </w:r>
      <w:r w:rsidR="00184E22">
        <w:rPr>
          <w:bCs/>
        </w:rPr>
        <w:t>decrease the</w:t>
      </w:r>
      <w:r w:rsidR="00184E22" w:rsidRPr="000B45F2">
        <w:rPr>
          <w:bCs/>
        </w:rPr>
        <w:t xml:space="preserve"> weight of existing reasons.</w:t>
      </w:r>
      <w:r w:rsidR="00184E22">
        <w:rPr>
          <w:bCs/>
        </w:rPr>
        <w:t xml:space="preserve"> </w:t>
      </w:r>
      <w:r>
        <w:rPr>
          <w:bCs/>
        </w:rPr>
        <w:t xml:space="preserve">The Deontic Weight Strategy </w:t>
      </w:r>
      <w:r w:rsidR="00184E22">
        <w:rPr>
          <w:bCs/>
        </w:rPr>
        <w:t xml:space="preserve">captures </w:t>
      </w:r>
      <w:r w:rsidR="000D2792" w:rsidRPr="000B45F2">
        <w:rPr>
          <w:bCs/>
        </w:rPr>
        <w:t xml:space="preserve">the intuitive idea that </w:t>
      </w:r>
      <w:r w:rsidR="000D2792" w:rsidRPr="000B45F2">
        <w:rPr>
          <w:bCs/>
          <w:i/>
          <w:iCs/>
        </w:rPr>
        <w:t>we</w:t>
      </w:r>
      <w:r w:rsidR="000D2792" w:rsidRPr="000B45F2">
        <w:rPr>
          <w:bCs/>
        </w:rPr>
        <w:t xml:space="preserve"> have a certain amount of control over what we ought to do</w:t>
      </w:r>
      <w:r w:rsidR="00BA360C">
        <w:rPr>
          <w:bCs/>
        </w:rPr>
        <w:t xml:space="preserve"> and what our obligations are</w:t>
      </w:r>
      <w:r w:rsidR="004F1C4B">
        <w:rPr>
          <w:bCs/>
        </w:rPr>
        <w:t xml:space="preserve"> rather than </w:t>
      </w:r>
      <w:r w:rsidR="000D2792" w:rsidRPr="000B45F2">
        <w:rPr>
          <w:bCs/>
        </w:rPr>
        <w:t>merely</w:t>
      </w:r>
      <w:r w:rsidR="004F1C4B">
        <w:rPr>
          <w:bCs/>
        </w:rPr>
        <w:t xml:space="preserve"> responding to existing reasons</w:t>
      </w:r>
      <w:r w:rsidR="000D2792" w:rsidRPr="000B45F2">
        <w:rPr>
          <w:bCs/>
        </w:rPr>
        <w:t>.</w:t>
      </w:r>
    </w:p>
    <w:p w14:paraId="070D580E" w14:textId="312C834E" w:rsidR="00F472D7" w:rsidRPr="000B45F2" w:rsidRDefault="000D2792" w:rsidP="00880ACB">
      <w:pPr>
        <w:jc w:val="both"/>
        <w:rPr>
          <w:bCs/>
        </w:rPr>
      </w:pPr>
      <w:r w:rsidRPr="000B45F2">
        <w:rPr>
          <w:bCs/>
        </w:rPr>
        <w:t>To</w:t>
      </w:r>
      <w:r w:rsidR="00493C22">
        <w:rPr>
          <w:bCs/>
        </w:rPr>
        <w:t xml:space="preserve"> briefly</w:t>
      </w:r>
      <w:r w:rsidRPr="000B45F2">
        <w:rPr>
          <w:bCs/>
        </w:rPr>
        <w:t xml:space="preserve"> illustrate the strategy</w:t>
      </w:r>
      <w:r w:rsidR="00F45099" w:rsidRPr="000B45F2">
        <w:rPr>
          <w:bCs/>
        </w:rPr>
        <w:t xml:space="preserve"> with Exercise or Couch</w:t>
      </w:r>
      <w:r w:rsidR="00E1299B" w:rsidRPr="000B45F2">
        <w:rPr>
          <w:bCs/>
        </w:rPr>
        <w:t>,</w:t>
      </w:r>
      <w:r w:rsidR="00FA12C1" w:rsidRPr="000B45F2">
        <w:rPr>
          <w:bCs/>
        </w:rPr>
        <w:t xml:space="preserve"> we </w:t>
      </w:r>
      <w:r w:rsidR="00F27915" w:rsidRPr="000B45F2">
        <w:rPr>
          <w:bCs/>
        </w:rPr>
        <w:t>are permitted</w:t>
      </w:r>
      <w:r w:rsidR="00FA12C1" w:rsidRPr="000B45F2">
        <w:rPr>
          <w:bCs/>
        </w:rPr>
        <w:t xml:space="preserve"> to either exercise or stay on the couch </w:t>
      </w:r>
      <w:r w:rsidR="00F27915" w:rsidRPr="000B45F2">
        <w:rPr>
          <w:bCs/>
        </w:rPr>
        <w:t xml:space="preserve">because we </w:t>
      </w:r>
      <w:r w:rsidR="000A4BD7" w:rsidRPr="000B45F2">
        <w:rPr>
          <w:bCs/>
        </w:rPr>
        <w:t xml:space="preserve">are </w:t>
      </w:r>
      <w:r w:rsidR="00CB4D2F">
        <w:rPr>
          <w:bCs/>
        </w:rPr>
        <w:t>able to</w:t>
      </w:r>
      <w:r w:rsidR="00F27915" w:rsidRPr="000B45F2">
        <w:rPr>
          <w:bCs/>
        </w:rPr>
        <w:t xml:space="preserve"> </w:t>
      </w:r>
      <w:r w:rsidR="00FA12C1" w:rsidRPr="000B45F2">
        <w:rPr>
          <w:bCs/>
        </w:rPr>
        <w:t>place</w:t>
      </w:r>
      <w:r w:rsidR="00CB4D2F">
        <w:rPr>
          <w:bCs/>
        </w:rPr>
        <w:t xml:space="preserve"> additional</w:t>
      </w:r>
      <w:r w:rsidR="00FA12C1" w:rsidRPr="000B45F2">
        <w:rPr>
          <w:bCs/>
        </w:rPr>
        <w:t xml:space="preserve"> deontic weight on </w:t>
      </w:r>
      <w:r w:rsidR="000A4BD7" w:rsidRPr="000B45F2">
        <w:rPr>
          <w:bCs/>
        </w:rPr>
        <w:t>either option</w:t>
      </w:r>
      <w:r w:rsidR="00F4333A">
        <w:rPr>
          <w:bCs/>
        </w:rPr>
        <w:t>.</w:t>
      </w:r>
      <w:r w:rsidRPr="000B45F2">
        <w:rPr>
          <w:bCs/>
        </w:rPr>
        <w:t xml:space="preserve"> </w:t>
      </w:r>
      <w:r w:rsidR="00F4333A">
        <w:rPr>
          <w:bCs/>
        </w:rPr>
        <w:t>Note that</w:t>
      </w:r>
      <w:r w:rsidR="00A15783" w:rsidRPr="000B45F2">
        <w:rPr>
          <w:bCs/>
        </w:rPr>
        <w:t xml:space="preserve"> </w:t>
      </w:r>
      <w:r w:rsidR="007B4575">
        <w:rPr>
          <w:bCs/>
        </w:rPr>
        <w:t>the strategy</w:t>
      </w:r>
      <w:r w:rsidR="00A15783" w:rsidRPr="000B45F2">
        <w:rPr>
          <w:bCs/>
        </w:rPr>
        <w:t xml:space="preserve"> does not account for permissions and restrictions in the way we </w:t>
      </w:r>
      <w:r w:rsidR="00C6236A" w:rsidRPr="000B45F2">
        <w:rPr>
          <w:bCs/>
        </w:rPr>
        <w:t>typically</w:t>
      </w:r>
      <w:r w:rsidR="00F27915" w:rsidRPr="000B45F2">
        <w:rPr>
          <w:bCs/>
        </w:rPr>
        <w:t xml:space="preserve"> </w:t>
      </w:r>
      <w:r w:rsidR="00A15783" w:rsidRPr="000B45F2">
        <w:rPr>
          <w:bCs/>
        </w:rPr>
        <w:t xml:space="preserve">understand them. </w:t>
      </w:r>
      <w:r w:rsidR="00DA0751">
        <w:rPr>
          <w:bCs/>
        </w:rPr>
        <w:t>Nor does it posit a distinction between different types of normative support (e.g.</w:t>
      </w:r>
      <w:r w:rsidR="00397F62">
        <w:rPr>
          <w:bCs/>
        </w:rPr>
        <w:t>,</w:t>
      </w:r>
      <w:r w:rsidR="00DA0751">
        <w:rPr>
          <w:bCs/>
        </w:rPr>
        <w:t xml:space="preserve"> justifying strength versus requiring strength, etc.) </w:t>
      </w:r>
      <w:r w:rsidR="007B4575">
        <w:rPr>
          <w:bCs/>
        </w:rPr>
        <w:t>Instead</w:t>
      </w:r>
      <w:r w:rsidR="00FA12C1" w:rsidRPr="000B45F2">
        <w:rPr>
          <w:bCs/>
        </w:rPr>
        <w:t>,</w:t>
      </w:r>
      <w:r w:rsidR="00E1299B" w:rsidRPr="000B45F2">
        <w:rPr>
          <w:bCs/>
        </w:rPr>
        <w:t xml:space="preserve"> </w:t>
      </w:r>
      <w:r w:rsidR="00A15783" w:rsidRPr="000B45F2">
        <w:rPr>
          <w:bCs/>
        </w:rPr>
        <w:t xml:space="preserve">permissions </w:t>
      </w:r>
      <w:r w:rsidR="00FA2F57">
        <w:rPr>
          <w:bCs/>
        </w:rPr>
        <w:t>are akin to</w:t>
      </w:r>
      <w:r w:rsidRPr="000B45F2">
        <w:rPr>
          <w:bCs/>
        </w:rPr>
        <w:t xml:space="preserve"> </w:t>
      </w:r>
      <w:r w:rsidR="00A15783" w:rsidRPr="000B45F2">
        <w:rPr>
          <w:bCs/>
          <w:i/>
          <w:iCs/>
        </w:rPr>
        <w:t>potential</w:t>
      </w:r>
      <w:r w:rsidR="005F7D02" w:rsidRPr="000B45F2">
        <w:rPr>
          <w:bCs/>
          <w:i/>
          <w:iCs/>
        </w:rPr>
        <w:t xml:space="preserve"> </w:t>
      </w:r>
      <w:r w:rsidR="00A15783" w:rsidRPr="000B45F2">
        <w:rPr>
          <w:bCs/>
        </w:rPr>
        <w:t>obligations</w:t>
      </w:r>
      <w:r w:rsidR="00F4333A">
        <w:rPr>
          <w:bCs/>
        </w:rPr>
        <w:t>/oughts</w:t>
      </w:r>
      <w:r w:rsidR="00E1299B" w:rsidRPr="000B45F2">
        <w:rPr>
          <w:bCs/>
        </w:rPr>
        <w:t xml:space="preserve"> that </w:t>
      </w:r>
      <w:r w:rsidR="00E83EBE">
        <w:rPr>
          <w:bCs/>
        </w:rPr>
        <w:t xml:space="preserve">are </w:t>
      </w:r>
      <w:r w:rsidR="00CF750D">
        <w:rPr>
          <w:bCs/>
        </w:rPr>
        <w:t xml:space="preserve">finally </w:t>
      </w:r>
      <w:r w:rsidR="00E83EBE">
        <w:rPr>
          <w:bCs/>
        </w:rPr>
        <w:t xml:space="preserve">generated </w:t>
      </w:r>
      <w:r w:rsidR="00822B3E">
        <w:rPr>
          <w:bCs/>
        </w:rPr>
        <w:t>when</w:t>
      </w:r>
      <w:r w:rsidR="00FA12C1" w:rsidRPr="000B45F2">
        <w:rPr>
          <w:bCs/>
        </w:rPr>
        <w:t xml:space="preserve"> an agent</w:t>
      </w:r>
      <w:r w:rsidR="0080788B" w:rsidRPr="000B45F2">
        <w:rPr>
          <w:bCs/>
        </w:rPr>
        <w:t xml:space="preserve"> </w:t>
      </w:r>
      <w:r w:rsidR="00CB4D2F">
        <w:rPr>
          <w:bCs/>
        </w:rPr>
        <w:t>adds or subtracts</w:t>
      </w:r>
      <w:r w:rsidR="00DA0751">
        <w:rPr>
          <w:bCs/>
        </w:rPr>
        <w:t xml:space="preserve"> a univocal notion of</w:t>
      </w:r>
      <w:r w:rsidR="0080788B" w:rsidRPr="000B45F2">
        <w:rPr>
          <w:bCs/>
        </w:rPr>
        <w:t xml:space="preserve"> </w:t>
      </w:r>
      <w:r w:rsidR="00FA12C1" w:rsidRPr="000B45F2">
        <w:rPr>
          <w:bCs/>
        </w:rPr>
        <w:t xml:space="preserve">deontic weight. </w:t>
      </w:r>
      <w:r w:rsidR="00053809">
        <w:rPr>
          <w:bCs/>
        </w:rPr>
        <w:t>Th</w:t>
      </w:r>
      <w:r w:rsidR="005C6248">
        <w:rPr>
          <w:bCs/>
        </w:rPr>
        <w:t xml:space="preserve">ough this </w:t>
      </w:r>
      <w:r w:rsidR="00DD38CF">
        <w:rPr>
          <w:bCs/>
        </w:rPr>
        <w:t>may seem odd at first</w:t>
      </w:r>
      <w:r w:rsidR="00A6408A">
        <w:rPr>
          <w:bCs/>
        </w:rPr>
        <w:t>,</w:t>
      </w:r>
      <w:r w:rsidR="00FA12C1" w:rsidRPr="000B45F2">
        <w:rPr>
          <w:bCs/>
        </w:rPr>
        <w:t xml:space="preserve"> I request the reader’s patience as we </w:t>
      </w:r>
      <w:r w:rsidRPr="000B45F2">
        <w:rPr>
          <w:bCs/>
        </w:rPr>
        <w:t xml:space="preserve">consider the </w:t>
      </w:r>
      <w:r w:rsidR="009807F9">
        <w:rPr>
          <w:bCs/>
        </w:rPr>
        <w:t xml:space="preserve">net </w:t>
      </w:r>
      <w:r w:rsidR="00814E31">
        <w:rPr>
          <w:bCs/>
        </w:rPr>
        <w:t>advantages</w:t>
      </w:r>
      <w:r w:rsidR="009807F9">
        <w:rPr>
          <w:bCs/>
        </w:rPr>
        <w:t xml:space="preserve"> and drawbacks</w:t>
      </w:r>
      <w:r w:rsidR="00814E31">
        <w:rPr>
          <w:bCs/>
        </w:rPr>
        <w:t xml:space="preserve"> of the strategy.</w:t>
      </w:r>
      <w:r w:rsidRPr="000B45F2">
        <w:rPr>
          <w:bCs/>
        </w:rPr>
        <w:t xml:space="preserve"> </w:t>
      </w:r>
    </w:p>
    <w:p w14:paraId="328F7BEB" w14:textId="3E2615F6" w:rsidR="008D4259" w:rsidRPr="000B45F2" w:rsidRDefault="00087AF9" w:rsidP="00880ACB">
      <w:pPr>
        <w:jc w:val="both"/>
        <w:rPr>
          <w:bCs/>
        </w:rPr>
      </w:pPr>
      <w:r>
        <w:rPr>
          <w:bCs/>
        </w:rPr>
        <w:t>Let me make two preliminary</w:t>
      </w:r>
      <w:r w:rsidR="0007198E">
        <w:rPr>
          <w:bCs/>
        </w:rPr>
        <w:t xml:space="preserve"> </w:t>
      </w:r>
      <w:r w:rsidR="000D2792" w:rsidRPr="000B45F2">
        <w:rPr>
          <w:bCs/>
        </w:rPr>
        <w:t>points</w:t>
      </w:r>
      <w:r w:rsidR="00F45099" w:rsidRPr="000B45F2">
        <w:rPr>
          <w:bCs/>
        </w:rPr>
        <w:t xml:space="preserve"> before proceeding with the paper outline</w:t>
      </w:r>
      <w:r w:rsidR="000D2792" w:rsidRPr="000B45F2">
        <w:rPr>
          <w:bCs/>
        </w:rPr>
        <w:t xml:space="preserve">. First, my </w:t>
      </w:r>
      <w:r w:rsidR="00C6236A" w:rsidRPr="000B45F2">
        <w:rPr>
          <w:bCs/>
        </w:rPr>
        <w:t>goal is not to argue that</w:t>
      </w:r>
      <w:r w:rsidR="000D2792" w:rsidRPr="000B45F2">
        <w:rPr>
          <w:bCs/>
        </w:rPr>
        <w:t xml:space="preserve"> </w:t>
      </w:r>
      <w:r w:rsidR="007B4575">
        <w:rPr>
          <w:bCs/>
        </w:rPr>
        <w:t>the strategy</w:t>
      </w:r>
      <w:r w:rsidR="000D2792" w:rsidRPr="000B45F2">
        <w:rPr>
          <w:bCs/>
        </w:rPr>
        <w:t xml:space="preserve"> is the </w:t>
      </w:r>
      <w:r w:rsidR="00C27698">
        <w:rPr>
          <w:bCs/>
        </w:rPr>
        <w:t>best or only</w:t>
      </w:r>
      <w:r w:rsidR="000D2792" w:rsidRPr="000B45F2">
        <w:rPr>
          <w:bCs/>
        </w:rPr>
        <w:t xml:space="preserve"> way to reconcile common</w:t>
      </w:r>
      <w:r w:rsidR="00D542C6">
        <w:rPr>
          <w:bCs/>
        </w:rPr>
        <w:t xml:space="preserve"> </w:t>
      </w:r>
      <w:r w:rsidR="000D2792" w:rsidRPr="000B45F2">
        <w:rPr>
          <w:bCs/>
        </w:rPr>
        <w:t xml:space="preserve">sense morality with </w:t>
      </w:r>
      <w:r w:rsidR="005059C5" w:rsidRPr="000B45F2">
        <w:rPr>
          <w:bCs/>
        </w:rPr>
        <w:t>the weight-ought connection</w:t>
      </w:r>
      <w:r w:rsidR="000D2792" w:rsidRPr="000B45F2">
        <w:rPr>
          <w:bCs/>
        </w:rPr>
        <w:t xml:space="preserve"> </w:t>
      </w:r>
      <w:r w:rsidR="00F21B1F" w:rsidRPr="000B45F2">
        <w:rPr>
          <w:bCs/>
        </w:rPr>
        <w:t>(though I do think it is perhaps the most intuitively attractive one).</w:t>
      </w:r>
      <w:r w:rsidR="000D2792" w:rsidRPr="000B45F2">
        <w:rPr>
          <w:bCs/>
        </w:rPr>
        <w:t xml:space="preserve"> </w:t>
      </w:r>
      <w:r w:rsidR="00F21B1F" w:rsidRPr="000B45F2">
        <w:rPr>
          <w:bCs/>
        </w:rPr>
        <w:t xml:space="preserve">Instead, </w:t>
      </w:r>
      <w:r w:rsidR="00E604CB">
        <w:rPr>
          <w:bCs/>
        </w:rPr>
        <w:t>I think the</w:t>
      </w:r>
      <w:r w:rsidR="005059C5" w:rsidRPr="000B45F2">
        <w:rPr>
          <w:bCs/>
        </w:rPr>
        <w:t xml:space="preserve"> </w:t>
      </w:r>
      <w:r w:rsidR="00C6236A" w:rsidRPr="000B45F2">
        <w:rPr>
          <w:bCs/>
        </w:rPr>
        <w:t xml:space="preserve">present </w:t>
      </w:r>
      <w:r w:rsidR="005059C5" w:rsidRPr="000B45F2">
        <w:rPr>
          <w:bCs/>
        </w:rPr>
        <w:t xml:space="preserve">strategy </w:t>
      </w:r>
      <w:r w:rsidR="00E604CB">
        <w:rPr>
          <w:bCs/>
        </w:rPr>
        <w:t xml:space="preserve">is worth developing on its own terms because it </w:t>
      </w:r>
      <w:r w:rsidR="00F95CAE">
        <w:rPr>
          <w:bCs/>
        </w:rPr>
        <w:t>captures</w:t>
      </w:r>
      <w:r w:rsidR="00E604CB">
        <w:rPr>
          <w:bCs/>
        </w:rPr>
        <w:t xml:space="preserve"> the </w:t>
      </w:r>
      <w:r w:rsidR="00DD38CF">
        <w:rPr>
          <w:bCs/>
        </w:rPr>
        <w:t xml:space="preserve">intuitive </w:t>
      </w:r>
      <w:r w:rsidR="00E604CB">
        <w:rPr>
          <w:bCs/>
        </w:rPr>
        <w:t xml:space="preserve">idea that we have significant normative </w:t>
      </w:r>
      <w:r w:rsidR="009C5786">
        <w:rPr>
          <w:bCs/>
        </w:rPr>
        <w:t>control</w:t>
      </w:r>
      <w:r w:rsidR="00E604CB">
        <w:rPr>
          <w:bCs/>
        </w:rPr>
        <w:t xml:space="preserve"> over what we ought to do</w:t>
      </w:r>
      <w:r w:rsidR="00F21B1F" w:rsidRPr="000B45F2">
        <w:rPr>
          <w:bCs/>
        </w:rPr>
        <w:t xml:space="preserve">. Thus, </w:t>
      </w:r>
      <w:r w:rsidR="006909A1">
        <w:rPr>
          <w:bCs/>
        </w:rPr>
        <w:t>my goal is not t</w:t>
      </w:r>
      <w:r w:rsidR="00090DF8">
        <w:rPr>
          <w:bCs/>
        </w:rPr>
        <w:t xml:space="preserve">o do a direct compare and contrast with </w:t>
      </w:r>
      <w:r w:rsidR="009D7A94">
        <w:rPr>
          <w:bCs/>
        </w:rPr>
        <w:t xml:space="preserve">a leading </w:t>
      </w:r>
      <w:r w:rsidR="00B04871" w:rsidRPr="000B45F2">
        <w:rPr>
          <w:bCs/>
        </w:rPr>
        <w:t xml:space="preserve">alternative in the literature that </w:t>
      </w:r>
      <w:r w:rsidR="00220D4E">
        <w:rPr>
          <w:bCs/>
        </w:rPr>
        <w:t>a</w:t>
      </w:r>
      <w:r w:rsidR="00802F26">
        <w:rPr>
          <w:bCs/>
        </w:rPr>
        <w:t>ccounts</w:t>
      </w:r>
      <w:r w:rsidR="00220D4E">
        <w:rPr>
          <w:bCs/>
        </w:rPr>
        <w:t xml:space="preserve"> </w:t>
      </w:r>
      <w:r w:rsidR="00B04871" w:rsidRPr="000B45F2">
        <w:rPr>
          <w:bCs/>
        </w:rPr>
        <w:t>for</w:t>
      </w:r>
      <w:r w:rsidR="00C55238" w:rsidRPr="000B45F2">
        <w:rPr>
          <w:bCs/>
        </w:rPr>
        <w:t xml:space="preserve"> permissions and restrictions</w:t>
      </w:r>
      <w:r w:rsidR="00B04871" w:rsidRPr="000B45F2">
        <w:rPr>
          <w:bCs/>
        </w:rPr>
        <w:t xml:space="preserve"> </w:t>
      </w:r>
      <w:r w:rsidR="0007262D" w:rsidRPr="000B45F2">
        <w:rPr>
          <w:bCs/>
        </w:rPr>
        <w:t>by</w:t>
      </w:r>
      <w:r w:rsidR="00C6236A" w:rsidRPr="000B45F2">
        <w:rPr>
          <w:bCs/>
        </w:rPr>
        <w:t xml:space="preserve"> </w:t>
      </w:r>
      <w:r w:rsidR="0095281A" w:rsidRPr="000B45F2">
        <w:rPr>
          <w:bCs/>
        </w:rPr>
        <w:t xml:space="preserve">postulating </w:t>
      </w:r>
      <w:r w:rsidR="00F21B1F" w:rsidRPr="000B45F2">
        <w:rPr>
          <w:bCs/>
        </w:rPr>
        <w:t>non-deontic commendatory reasons or a distinction between the requiring/justifying strength of reasons.</w:t>
      </w:r>
      <w:r w:rsidR="00B402D9" w:rsidRPr="000B45F2">
        <w:rPr>
          <w:rStyle w:val="FootnoteReference"/>
          <w:bCs/>
        </w:rPr>
        <w:footnoteReference w:id="5"/>
      </w:r>
      <w:r w:rsidR="00B402D9" w:rsidRPr="000B45F2">
        <w:rPr>
          <w:bCs/>
        </w:rPr>
        <w:t xml:space="preserve"> </w:t>
      </w:r>
    </w:p>
    <w:p w14:paraId="009F70C8" w14:textId="4737268C" w:rsidR="00B402D9" w:rsidRPr="000B45F2" w:rsidRDefault="00B402D9" w:rsidP="00880ACB">
      <w:pPr>
        <w:jc w:val="both"/>
        <w:rPr>
          <w:bCs/>
        </w:rPr>
      </w:pPr>
      <w:r w:rsidRPr="000B45F2">
        <w:rPr>
          <w:bCs/>
        </w:rPr>
        <w:t xml:space="preserve">Second, while I think </w:t>
      </w:r>
      <w:r w:rsidR="007B4575">
        <w:rPr>
          <w:bCs/>
        </w:rPr>
        <w:t xml:space="preserve">the strategy </w:t>
      </w:r>
      <w:r w:rsidRPr="000B45F2">
        <w:rPr>
          <w:bCs/>
        </w:rPr>
        <w:t xml:space="preserve">is worth further discussion and development, the present paper </w:t>
      </w:r>
      <w:r w:rsidR="008527BC">
        <w:rPr>
          <w:bCs/>
        </w:rPr>
        <w:t>is</w:t>
      </w:r>
      <w:r w:rsidR="004C0C64">
        <w:rPr>
          <w:bCs/>
        </w:rPr>
        <w:t xml:space="preserve"> an</w:t>
      </w:r>
      <w:r w:rsidR="003832CA">
        <w:rPr>
          <w:bCs/>
        </w:rPr>
        <w:t xml:space="preserve"> </w:t>
      </w:r>
      <w:r w:rsidR="003832CA" w:rsidRPr="004820EC">
        <w:rPr>
          <w:bCs/>
          <w:i/>
          <w:iCs/>
        </w:rPr>
        <w:t>exploration</w:t>
      </w:r>
      <w:r w:rsidR="004A5BFE">
        <w:rPr>
          <w:bCs/>
          <w:i/>
          <w:iCs/>
        </w:rPr>
        <w:t xml:space="preserve"> </w:t>
      </w:r>
      <w:r w:rsidR="004A5BFE">
        <w:rPr>
          <w:bCs/>
        </w:rPr>
        <w:t xml:space="preserve">and </w:t>
      </w:r>
      <w:r w:rsidR="004A5BFE">
        <w:rPr>
          <w:bCs/>
          <w:i/>
          <w:iCs/>
        </w:rPr>
        <w:t>evaluation</w:t>
      </w:r>
      <w:r w:rsidR="003832CA">
        <w:rPr>
          <w:bCs/>
        </w:rPr>
        <w:t xml:space="preserve"> </w:t>
      </w:r>
      <w:r w:rsidR="00432490">
        <w:rPr>
          <w:bCs/>
        </w:rPr>
        <w:t>rather than a</w:t>
      </w:r>
      <w:r w:rsidR="00064795">
        <w:rPr>
          <w:bCs/>
        </w:rPr>
        <w:t>n</w:t>
      </w:r>
      <w:r w:rsidR="009C5786">
        <w:rPr>
          <w:bCs/>
        </w:rPr>
        <w:t xml:space="preserve"> </w:t>
      </w:r>
      <w:r w:rsidR="009C5786" w:rsidRPr="004820EC">
        <w:rPr>
          <w:bCs/>
          <w:i/>
          <w:iCs/>
        </w:rPr>
        <w:t>endorsement</w:t>
      </w:r>
      <w:r w:rsidR="003832CA">
        <w:rPr>
          <w:bCs/>
        </w:rPr>
        <w:t xml:space="preserve"> of the</w:t>
      </w:r>
      <w:r w:rsidR="00682D66">
        <w:rPr>
          <w:bCs/>
        </w:rPr>
        <w:t xml:space="preserve"> strategy</w:t>
      </w:r>
      <w:r w:rsidRPr="000B45F2">
        <w:rPr>
          <w:bCs/>
        </w:rPr>
        <w:t xml:space="preserve">. </w:t>
      </w:r>
      <w:r w:rsidR="00523FD7">
        <w:rPr>
          <w:bCs/>
        </w:rPr>
        <w:t xml:space="preserve">Though the </w:t>
      </w:r>
      <w:r w:rsidR="004B4A8C">
        <w:rPr>
          <w:bCs/>
        </w:rPr>
        <w:t>strategy</w:t>
      </w:r>
      <w:r w:rsidR="00523FD7">
        <w:rPr>
          <w:bCs/>
        </w:rPr>
        <w:t xml:space="preserve"> is simple and</w:t>
      </w:r>
      <w:r w:rsidR="0030018B">
        <w:rPr>
          <w:bCs/>
        </w:rPr>
        <w:t xml:space="preserve"> independently</w:t>
      </w:r>
      <w:r w:rsidR="00523FD7">
        <w:rPr>
          <w:bCs/>
        </w:rPr>
        <w:t xml:space="preserve"> </w:t>
      </w:r>
      <w:r w:rsidR="0030018B">
        <w:rPr>
          <w:bCs/>
        </w:rPr>
        <w:t>motivated</w:t>
      </w:r>
      <w:r w:rsidR="00A763FF" w:rsidRPr="000B45F2">
        <w:rPr>
          <w:bCs/>
        </w:rPr>
        <w:t>, I</w:t>
      </w:r>
      <w:r w:rsidRPr="000B45F2">
        <w:rPr>
          <w:bCs/>
        </w:rPr>
        <w:t xml:space="preserve"> </w:t>
      </w:r>
      <w:r w:rsidR="00345030">
        <w:rPr>
          <w:bCs/>
        </w:rPr>
        <w:t xml:space="preserve">argue that there is no </w:t>
      </w:r>
      <w:r w:rsidR="00B04871" w:rsidRPr="000B45F2">
        <w:rPr>
          <w:bCs/>
        </w:rPr>
        <w:t>unified</w:t>
      </w:r>
      <w:r w:rsidRPr="000B45F2">
        <w:rPr>
          <w:bCs/>
        </w:rPr>
        <w:t xml:space="preserve"> ground for our ability to </w:t>
      </w:r>
      <w:r w:rsidR="00CD4E07">
        <w:rPr>
          <w:bCs/>
        </w:rPr>
        <w:t>alter</w:t>
      </w:r>
      <w:r w:rsidRPr="000B45F2">
        <w:rPr>
          <w:bCs/>
        </w:rPr>
        <w:t xml:space="preserve"> deontic weight </w:t>
      </w:r>
      <w:r w:rsidRPr="000B45F2">
        <w:rPr>
          <w:bCs/>
        </w:rPr>
        <w:lastRenderedPageBreak/>
        <w:t xml:space="preserve">that </w:t>
      </w:r>
      <w:r w:rsidR="00972703">
        <w:rPr>
          <w:bCs/>
        </w:rPr>
        <w:t xml:space="preserve">is both sufficiently predictive and </w:t>
      </w:r>
      <w:r w:rsidRPr="000B45F2">
        <w:rPr>
          <w:bCs/>
        </w:rPr>
        <w:t xml:space="preserve">will make sense of </w:t>
      </w:r>
      <w:r w:rsidR="00682D66">
        <w:rPr>
          <w:bCs/>
        </w:rPr>
        <w:t>all</w:t>
      </w:r>
      <w:r w:rsidR="003832CA">
        <w:rPr>
          <w:bCs/>
        </w:rPr>
        <w:t xml:space="preserve"> of</w:t>
      </w:r>
      <w:r w:rsidR="00682D66">
        <w:rPr>
          <w:bCs/>
        </w:rPr>
        <w:t xml:space="preserve"> </w:t>
      </w:r>
      <w:r w:rsidR="00B04871" w:rsidRPr="000B45F2">
        <w:rPr>
          <w:bCs/>
        </w:rPr>
        <w:t>our</w:t>
      </w:r>
      <w:r w:rsidRPr="000B45F2">
        <w:rPr>
          <w:bCs/>
        </w:rPr>
        <w:t xml:space="preserve"> intuitions about the </w:t>
      </w:r>
      <w:r w:rsidR="0095281A" w:rsidRPr="000B45F2">
        <w:rPr>
          <w:bCs/>
        </w:rPr>
        <w:t>cases just mentioned</w:t>
      </w:r>
      <w:r w:rsidRPr="000B45F2">
        <w:rPr>
          <w:bCs/>
        </w:rPr>
        <w:t>.</w:t>
      </w:r>
      <w:r w:rsidR="00DA0751">
        <w:rPr>
          <w:bCs/>
        </w:rPr>
        <w:t xml:space="preserve"> </w:t>
      </w:r>
    </w:p>
    <w:p w14:paraId="73B75C3E" w14:textId="509EA841" w:rsidR="00E76444" w:rsidRPr="000B45F2" w:rsidRDefault="00A56B75" w:rsidP="00880ACB">
      <w:pPr>
        <w:jc w:val="both"/>
        <w:rPr>
          <w:bCs/>
        </w:rPr>
      </w:pPr>
      <w:r w:rsidRPr="000B45F2">
        <w:rPr>
          <w:bCs/>
        </w:rPr>
        <w:t>The paper proceeds as follows. In section I, I</w:t>
      </w:r>
      <w:r w:rsidR="00F76D5A">
        <w:rPr>
          <w:bCs/>
        </w:rPr>
        <w:t xml:space="preserve"> </w:t>
      </w:r>
      <w:r w:rsidR="00A763FF" w:rsidRPr="000B45F2">
        <w:rPr>
          <w:bCs/>
        </w:rPr>
        <w:t>motivate</w:t>
      </w:r>
      <w:r w:rsidR="007B4575">
        <w:rPr>
          <w:bCs/>
        </w:rPr>
        <w:t xml:space="preserve"> the strategy</w:t>
      </w:r>
      <w:r w:rsidR="002A4676" w:rsidRPr="000B45F2">
        <w:rPr>
          <w:bCs/>
        </w:rPr>
        <w:t xml:space="preserve">. </w:t>
      </w:r>
      <w:r w:rsidR="006F5CEE" w:rsidRPr="000B45F2">
        <w:rPr>
          <w:bCs/>
        </w:rPr>
        <w:t>I</w:t>
      </w:r>
      <w:r w:rsidR="002E7EAF" w:rsidRPr="000B45F2">
        <w:rPr>
          <w:bCs/>
        </w:rPr>
        <w:t xml:space="preserve">n section II, </w:t>
      </w:r>
      <w:r w:rsidR="00233143" w:rsidRPr="000B45F2">
        <w:rPr>
          <w:bCs/>
        </w:rPr>
        <w:t xml:space="preserve">I develop </w:t>
      </w:r>
      <w:r w:rsidR="007B4575">
        <w:rPr>
          <w:bCs/>
        </w:rPr>
        <w:t>the strategy</w:t>
      </w:r>
      <w:r w:rsidR="00233143" w:rsidRPr="000B45F2">
        <w:rPr>
          <w:bCs/>
        </w:rPr>
        <w:t xml:space="preserve"> and then </w:t>
      </w:r>
      <w:r w:rsidR="00A763FF" w:rsidRPr="000B45F2">
        <w:rPr>
          <w:bCs/>
        </w:rPr>
        <w:t>put it to use by applying it</w:t>
      </w:r>
      <w:r w:rsidR="00233143" w:rsidRPr="000B45F2">
        <w:rPr>
          <w:bCs/>
        </w:rPr>
        <w:t xml:space="preserve"> t</w:t>
      </w:r>
      <w:r w:rsidR="00A763FF" w:rsidRPr="000B45F2">
        <w:rPr>
          <w:bCs/>
        </w:rPr>
        <w:t>o our three cases</w:t>
      </w:r>
      <w:r w:rsidR="00233143" w:rsidRPr="000B45F2">
        <w:rPr>
          <w:bCs/>
        </w:rPr>
        <w:t xml:space="preserve">. </w:t>
      </w:r>
      <w:r w:rsidR="006F5CEE" w:rsidRPr="000B45F2">
        <w:rPr>
          <w:bCs/>
        </w:rPr>
        <w:t>In section I</w:t>
      </w:r>
      <w:r w:rsidR="002E7EAF" w:rsidRPr="000B45F2">
        <w:rPr>
          <w:bCs/>
        </w:rPr>
        <w:t>II</w:t>
      </w:r>
      <w:r w:rsidR="006F5CEE" w:rsidRPr="000B45F2">
        <w:rPr>
          <w:bCs/>
        </w:rPr>
        <w:t xml:space="preserve">, I consider what </w:t>
      </w:r>
      <w:r w:rsidR="004B6BC1" w:rsidRPr="000B45F2">
        <w:rPr>
          <w:bCs/>
        </w:rPr>
        <w:t>could</w:t>
      </w:r>
      <w:r w:rsidR="007F50F7" w:rsidRPr="000B45F2">
        <w:rPr>
          <w:bCs/>
        </w:rPr>
        <w:t xml:space="preserve"> </w:t>
      </w:r>
      <w:r w:rsidR="006F5CEE" w:rsidRPr="000B45F2">
        <w:rPr>
          <w:bCs/>
        </w:rPr>
        <w:t>ground</w:t>
      </w:r>
      <w:r w:rsidR="004B6BC1" w:rsidRPr="000B45F2">
        <w:rPr>
          <w:bCs/>
        </w:rPr>
        <w:t xml:space="preserve"> </w:t>
      </w:r>
      <w:r w:rsidR="006F5CEE" w:rsidRPr="000B45F2">
        <w:rPr>
          <w:bCs/>
        </w:rPr>
        <w:t xml:space="preserve">our ability </w:t>
      </w:r>
      <w:r w:rsidR="007F50F7" w:rsidRPr="000B45F2">
        <w:rPr>
          <w:bCs/>
        </w:rPr>
        <w:t>to alter the</w:t>
      </w:r>
      <w:r w:rsidR="006F5CEE" w:rsidRPr="000B45F2">
        <w:rPr>
          <w:bCs/>
        </w:rPr>
        <w:t xml:space="preserve"> deontic weight </w:t>
      </w:r>
      <w:r w:rsidR="001B674B" w:rsidRPr="000B45F2">
        <w:rPr>
          <w:bCs/>
        </w:rPr>
        <w:t xml:space="preserve">that supports an </w:t>
      </w:r>
      <w:r w:rsidR="006F5CEE" w:rsidRPr="000B45F2">
        <w:rPr>
          <w:bCs/>
        </w:rPr>
        <w:t>action.</w:t>
      </w:r>
      <w:r w:rsidR="007F50F7" w:rsidRPr="000B45F2">
        <w:rPr>
          <w:bCs/>
        </w:rPr>
        <w:t xml:space="preserve"> First, I consider </w:t>
      </w:r>
      <w:r w:rsidR="006355CA">
        <w:rPr>
          <w:bCs/>
        </w:rPr>
        <w:t xml:space="preserve">and critique </w:t>
      </w:r>
      <w:r w:rsidR="007F50F7" w:rsidRPr="000B45F2">
        <w:rPr>
          <w:bCs/>
        </w:rPr>
        <w:t xml:space="preserve">proposals on which we generate </w:t>
      </w:r>
      <w:r w:rsidR="004B6BC1" w:rsidRPr="000B45F2">
        <w:rPr>
          <w:bCs/>
        </w:rPr>
        <w:t xml:space="preserve">new </w:t>
      </w:r>
      <w:r w:rsidR="007F50F7" w:rsidRPr="000B45F2">
        <w:rPr>
          <w:bCs/>
        </w:rPr>
        <w:t>deontic weight</w:t>
      </w:r>
      <w:r w:rsidR="00DD6728" w:rsidRPr="000B45F2">
        <w:rPr>
          <w:bCs/>
        </w:rPr>
        <w:t xml:space="preserve">. Second, I consider </w:t>
      </w:r>
      <w:r w:rsidR="007E1CC9">
        <w:rPr>
          <w:bCs/>
        </w:rPr>
        <w:t xml:space="preserve">whether the proponent of </w:t>
      </w:r>
      <w:r w:rsidR="007B4575">
        <w:rPr>
          <w:bCs/>
        </w:rPr>
        <w:t>the strategy</w:t>
      </w:r>
      <w:r w:rsidR="007E1CC9">
        <w:rPr>
          <w:bCs/>
        </w:rPr>
        <w:t xml:space="preserve"> can appeal to </w:t>
      </w:r>
      <w:r w:rsidR="00375032">
        <w:rPr>
          <w:bCs/>
        </w:rPr>
        <w:t>Mũnoz</w:t>
      </w:r>
      <w:r w:rsidR="00DD6728" w:rsidRPr="000B45F2">
        <w:rPr>
          <w:bCs/>
        </w:rPr>
        <w:t>’s</w:t>
      </w:r>
      <w:r w:rsidR="00F0233B" w:rsidRPr="000B45F2">
        <w:rPr>
          <w:bCs/>
        </w:rPr>
        <w:t xml:space="preserve"> (</w:t>
      </w:r>
      <w:r w:rsidR="001217EF">
        <w:rPr>
          <w:bCs/>
        </w:rPr>
        <w:t>forthcoming</w:t>
      </w:r>
      <w:r w:rsidR="00F0233B" w:rsidRPr="000B45F2">
        <w:rPr>
          <w:bCs/>
        </w:rPr>
        <w:t>)</w:t>
      </w:r>
      <w:r w:rsidR="007E1CC9">
        <w:rPr>
          <w:bCs/>
        </w:rPr>
        <w:t xml:space="preserve"> </w:t>
      </w:r>
      <w:r w:rsidR="00465FFF">
        <w:rPr>
          <w:bCs/>
        </w:rPr>
        <w:t>thesis</w:t>
      </w:r>
      <w:r w:rsidR="00DD6728" w:rsidRPr="000B45F2">
        <w:rPr>
          <w:bCs/>
        </w:rPr>
        <w:t xml:space="preserve"> that agents can waive or assert rights </w:t>
      </w:r>
      <w:r w:rsidR="0059583A">
        <w:rPr>
          <w:bCs/>
        </w:rPr>
        <w:t>with</w:t>
      </w:r>
      <w:r w:rsidR="00EC3BD3" w:rsidRPr="000B45F2">
        <w:rPr>
          <w:bCs/>
        </w:rPr>
        <w:t xml:space="preserve"> </w:t>
      </w:r>
      <w:r w:rsidR="004B6BC1" w:rsidRPr="000B45F2">
        <w:rPr>
          <w:bCs/>
        </w:rPr>
        <w:t>pre-existing</w:t>
      </w:r>
      <w:r w:rsidR="00DD6728" w:rsidRPr="000B45F2">
        <w:rPr>
          <w:bCs/>
        </w:rPr>
        <w:t xml:space="preserve"> deontic</w:t>
      </w:r>
      <w:r w:rsidR="00EC3BD3" w:rsidRPr="000B45F2">
        <w:rPr>
          <w:bCs/>
        </w:rPr>
        <w:t xml:space="preserve"> weight </w:t>
      </w:r>
      <w:r w:rsidR="00E67F37" w:rsidRPr="000B45F2">
        <w:rPr>
          <w:bCs/>
        </w:rPr>
        <w:t>in defense of their choices.</w:t>
      </w:r>
      <w:r w:rsidR="00A80B66">
        <w:rPr>
          <w:bCs/>
        </w:rPr>
        <w:t xml:space="preserve"> </w:t>
      </w:r>
      <w:r w:rsidR="00055736" w:rsidRPr="000B45F2">
        <w:rPr>
          <w:bCs/>
        </w:rPr>
        <w:t xml:space="preserve">I argue that </w:t>
      </w:r>
      <w:r w:rsidR="00A80B66">
        <w:rPr>
          <w:bCs/>
        </w:rPr>
        <w:t>there seems to be no</w:t>
      </w:r>
      <w:r w:rsidR="0006395F">
        <w:rPr>
          <w:bCs/>
        </w:rPr>
        <w:t xml:space="preserve"> unified ground for our</w:t>
      </w:r>
      <w:r w:rsidR="007E1CC9">
        <w:rPr>
          <w:bCs/>
        </w:rPr>
        <w:t xml:space="preserve"> ability to </w:t>
      </w:r>
      <w:r w:rsidR="007C3AA5">
        <w:rPr>
          <w:bCs/>
        </w:rPr>
        <w:t>alter</w:t>
      </w:r>
      <w:r w:rsidR="007E1CC9">
        <w:rPr>
          <w:bCs/>
        </w:rPr>
        <w:t xml:space="preserve"> deontic weight that</w:t>
      </w:r>
      <w:r w:rsidR="0006395F">
        <w:rPr>
          <w:bCs/>
        </w:rPr>
        <w:t xml:space="preserve"> </w:t>
      </w:r>
      <w:r w:rsidR="00064795">
        <w:rPr>
          <w:bCs/>
        </w:rPr>
        <w:t xml:space="preserve">is sufficiently predictive while also </w:t>
      </w:r>
      <w:r w:rsidR="00090E14" w:rsidRPr="000B45F2">
        <w:rPr>
          <w:bCs/>
        </w:rPr>
        <w:t>accommodat</w:t>
      </w:r>
      <w:r w:rsidR="00064795">
        <w:rPr>
          <w:bCs/>
        </w:rPr>
        <w:t>ing</w:t>
      </w:r>
      <w:r w:rsidR="00B12570" w:rsidRPr="000B45F2">
        <w:rPr>
          <w:bCs/>
        </w:rPr>
        <w:t xml:space="preserve"> </w:t>
      </w:r>
      <w:r w:rsidR="000B54FB" w:rsidRPr="000B45F2">
        <w:rPr>
          <w:bCs/>
        </w:rPr>
        <w:t>our common</w:t>
      </w:r>
      <w:r w:rsidR="00D542C6">
        <w:rPr>
          <w:bCs/>
        </w:rPr>
        <w:t xml:space="preserve"> </w:t>
      </w:r>
      <w:r w:rsidR="000B54FB" w:rsidRPr="000B45F2">
        <w:rPr>
          <w:bCs/>
        </w:rPr>
        <w:t>sense moral intuitions</w:t>
      </w:r>
      <w:r w:rsidR="00055736" w:rsidRPr="000B45F2">
        <w:rPr>
          <w:bCs/>
        </w:rPr>
        <w:t xml:space="preserve">. </w:t>
      </w:r>
      <w:r w:rsidR="008D4259" w:rsidRPr="000B45F2">
        <w:rPr>
          <w:bCs/>
        </w:rPr>
        <w:t xml:space="preserve">I conclude </w:t>
      </w:r>
      <w:r w:rsidR="00390ADD">
        <w:rPr>
          <w:bCs/>
        </w:rPr>
        <w:t xml:space="preserve">by considering potential options if we must reject the </w:t>
      </w:r>
      <w:r w:rsidR="007B4575">
        <w:rPr>
          <w:bCs/>
        </w:rPr>
        <w:t>Deontic Weight Strategy</w:t>
      </w:r>
      <w:r w:rsidR="00746BCF">
        <w:rPr>
          <w:bCs/>
        </w:rPr>
        <w:t xml:space="preserve">. </w:t>
      </w:r>
      <w:r w:rsidR="00A535FD">
        <w:rPr>
          <w:bCs/>
        </w:rPr>
        <w:t>We may have to reject the weight-ought connection or even common</w:t>
      </w:r>
      <w:r w:rsidR="00D542C6">
        <w:rPr>
          <w:bCs/>
        </w:rPr>
        <w:t xml:space="preserve"> </w:t>
      </w:r>
      <w:r w:rsidR="00A535FD">
        <w:rPr>
          <w:bCs/>
        </w:rPr>
        <w:t>sense morality after all.</w:t>
      </w:r>
    </w:p>
    <w:p w14:paraId="6B913DEC" w14:textId="24B32D04" w:rsidR="003F232B" w:rsidRPr="00FB2F01" w:rsidRDefault="003F232B" w:rsidP="00880ACB">
      <w:pPr>
        <w:pStyle w:val="Roeber-HeadingA"/>
        <w:jc w:val="both"/>
      </w:pPr>
      <w:r w:rsidRPr="00FB2F01">
        <w:t xml:space="preserve">1. </w:t>
      </w:r>
      <w:r w:rsidR="006A3183">
        <w:t>Motivating the Deontic Weight Strategy</w:t>
      </w:r>
    </w:p>
    <w:p w14:paraId="0E142A34" w14:textId="14863956" w:rsidR="008D5071" w:rsidRPr="000B45F2" w:rsidRDefault="00585D5E" w:rsidP="00880ACB">
      <w:pPr>
        <w:jc w:val="both"/>
        <w:rPr>
          <w:bCs/>
        </w:rPr>
      </w:pPr>
      <w:r w:rsidRPr="000B45F2">
        <w:rPr>
          <w:bCs/>
        </w:rPr>
        <w:t xml:space="preserve">To motivate </w:t>
      </w:r>
      <w:r w:rsidR="007B4575">
        <w:rPr>
          <w:bCs/>
        </w:rPr>
        <w:t>the Deontic Weight Strategy</w:t>
      </w:r>
      <w:r w:rsidRPr="000B45F2">
        <w:rPr>
          <w:bCs/>
        </w:rPr>
        <w:t xml:space="preserve">, </w:t>
      </w:r>
      <w:r w:rsidR="00E809CD" w:rsidRPr="000B45F2">
        <w:rPr>
          <w:bCs/>
        </w:rPr>
        <w:t xml:space="preserve">recall Kant’s claim that the </w:t>
      </w:r>
      <w:r w:rsidR="008D5071" w:rsidRPr="000B45F2">
        <w:rPr>
          <w:bCs/>
        </w:rPr>
        <w:t>human mind is not just pure passivity</w:t>
      </w:r>
      <w:r w:rsidR="00064FB5" w:rsidRPr="000B45F2">
        <w:rPr>
          <w:bCs/>
        </w:rPr>
        <w:t xml:space="preserve"> or responsiveness to external objects. H</w:t>
      </w:r>
      <w:r w:rsidR="008D5071" w:rsidRPr="000B45F2">
        <w:rPr>
          <w:bCs/>
        </w:rPr>
        <w:t xml:space="preserve">uman minds also contribute to structuring sense data by necessarily imposing </w:t>
      </w:r>
      <w:r w:rsidR="00BA737D" w:rsidRPr="000B45F2">
        <w:rPr>
          <w:bCs/>
        </w:rPr>
        <w:t>certain structural features</w:t>
      </w:r>
      <w:r w:rsidR="008D5071" w:rsidRPr="000B45F2">
        <w:rPr>
          <w:bCs/>
        </w:rPr>
        <w:t xml:space="preserve"> on all empirical cognition</w:t>
      </w:r>
      <w:r w:rsidR="000F4EF7" w:rsidRPr="000B45F2">
        <w:rPr>
          <w:bCs/>
        </w:rPr>
        <w:t>s. For Kant</w:t>
      </w:r>
      <w:r w:rsidR="008D5071" w:rsidRPr="000B45F2">
        <w:rPr>
          <w:bCs/>
        </w:rPr>
        <w:t>, empirical cognition involves both passivity to something objective (i.e.</w:t>
      </w:r>
      <w:r w:rsidR="00C66A80">
        <w:rPr>
          <w:bCs/>
        </w:rPr>
        <w:t xml:space="preserve">, </w:t>
      </w:r>
      <w:r w:rsidR="008D5071" w:rsidRPr="000B45F2">
        <w:rPr>
          <w:bCs/>
        </w:rPr>
        <w:t>things-in-themselves) and activity</w:t>
      </w:r>
      <w:r w:rsidR="000F4EF7" w:rsidRPr="000B45F2">
        <w:rPr>
          <w:bCs/>
        </w:rPr>
        <w:t>/spontaneity</w:t>
      </w:r>
      <w:r w:rsidR="008D5071" w:rsidRPr="000B45F2">
        <w:rPr>
          <w:bCs/>
        </w:rPr>
        <w:t xml:space="preserve"> by subjects on that object (i.e.</w:t>
      </w:r>
      <w:r w:rsidR="00C66A80">
        <w:rPr>
          <w:bCs/>
        </w:rPr>
        <w:t>,</w:t>
      </w:r>
      <w:r w:rsidR="008D5071" w:rsidRPr="000B45F2">
        <w:rPr>
          <w:bCs/>
        </w:rPr>
        <w:t xml:space="preserve"> </w:t>
      </w:r>
      <w:r w:rsidR="000F4EF7" w:rsidRPr="000B45F2">
        <w:rPr>
          <w:bCs/>
        </w:rPr>
        <w:t>applying</w:t>
      </w:r>
      <w:r w:rsidR="008D5071" w:rsidRPr="000B45F2">
        <w:rPr>
          <w:bCs/>
        </w:rPr>
        <w:t xml:space="preserve"> the </w:t>
      </w:r>
      <w:r w:rsidR="0089536B" w:rsidRPr="000B45F2">
        <w:rPr>
          <w:bCs/>
        </w:rPr>
        <w:t xml:space="preserve">forms of sensibility and the </w:t>
      </w:r>
      <w:r w:rsidR="008D5071" w:rsidRPr="000B45F2">
        <w:rPr>
          <w:bCs/>
        </w:rPr>
        <w:t>categories</w:t>
      </w:r>
      <w:r w:rsidR="0089536B" w:rsidRPr="000B45F2">
        <w:rPr>
          <w:bCs/>
        </w:rPr>
        <w:t xml:space="preserve"> of experience</w:t>
      </w:r>
      <w:r w:rsidR="008D5071" w:rsidRPr="000B45F2">
        <w:rPr>
          <w:bCs/>
        </w:rPr>
        <w:t>).</w:t>
      </w:r>
      <w:r w:rsidR="009C34CD" w:rsidRPr="000B45F2">
        <w:rPr>
          <w:rStyle w:val="FootnoteReference"/>
          <w:bCs/>
        </w:rPr>
        <w:footnoteReference w:id="6"/>
      </w:r>
    </w:p>
    <w:p w14:paraId="1F82CC38" w14:textId="2C9E2BFD" w:rsidR="000C6FDC" w:rsidRDefault="007B4575" w:rsidP="00880ACB">
      <w:pPr>
        <w:jc w:val="both"/>
        <w:rPr>
          <w:bCs/>
        </w:rPr>
      </w:pPr>
      <w:r>
        <w:rPr>
          <w:bCs/>
        </w:rPr>
        <w:t>The Deontic Weight Strategy</w:t>
      </w:r>
      <w:r w:rsidR="00585D5E" w:rsidRPr="000B45F2">
        <w:rPr>
          <w:bCs/>
        </w:rPr>
        <w:t xml:space="preserve"> </w:t>
      </w:r>
      <w:r w:rsidR="008D5071" w:rsidRPr="000B45F2">
        <w:rPr>
          <w:bCs/>
        </w:rPr>
        <w:t xml:space="preserve">is </w:t>
      </w:r>
      <w:r w:rsidR="00ED0CB5">
        <w:rPr>
          <w:bCs/>
        </w:rPr>
        <w:t>a way of drawing a</w:t>
      </w:r>
      <w:r w:rsidR="008D5071" w:rsidRPr="000B45F2">
        <w:rPr>
          <w:bCs/>
        </w:rPr>
        <w:t xml:space="preserve"> rough practical parallel t</w:t>
      </w:r>
      <w:r w:rsidR="005F33A7" w:rsidRPr="000B45F2">
        <w:rPr>
          <w:bCs/>
        </w:rPr>
        <w:t>o Kant’s claims about the mind’s contribution in the theoretical realm</w:t>
      </w:r>
      <w:r w:rsidR="008D5071" w:rsidRPr="000B45F2">
        <w:rPr>
          <w:bCs/>
        </w:rPr>
        <w:t>. In order to account for common</w:t>
      </w:r>
      <w:r w:rsidR="00D542C6">
        <w:rPr>
          <w:bCs/>
        </w:rPr>
        <w:t xml:space="preserve"> </w:t>
      </w:r>
      <w:r w:rsidR="008D5071" w:rsidRPr="000B45F2">
        <w:rPr>
          <w:bCs/>
        </w:rPr>
        <w:t xml:space="preserve">sense morality, we </w:t>
      </w:r>
      <w:r w:rsidR="00342FC7" w:rsidRPr="000B45F2">
        <w:rPr>
          <w:bCs/>
        </w:rPr>
        <w:t>need to</w:t>
      </w:r>
      <w:r w:rsidR="008D5071" w:rsidRPr="000B45F2">
        <w:rPr>
          <w:bCs/>
        </w:rPr>
        <w:t xml:space="preserve"> avoid two pitfalls. First, just as Kant thought that there really </w:t>
      </w:r>
      <w:r w:rsidR="00416BFC" w:rsidRPr="000B45F2">
        <w:rPr>
          <w:bCs/>
        </w:rPr>
        <w:t>are</w:t>
      </w:r>
      <w:r w:rsidR="008D5071" w:rsidRPr="000B45F2">
        <w:rPr>
          <w:bCs/>
        </w:rPr>
        <w:t xml:space="preserve"> thing</w:t>
      </w:r>
      <w:r w:rsidR="00416BFC" w:rsidRPr="000B45F2">
        <w:rPr>
          <w:bCs/>
        </w:rPr>
        <w:t>s</w:t>
      </w:r>
      <w:r w:rsidR="008D5071" w:rsidRPr="000B45F2">
        <w:rPr>
          <w:bCs/>
        </w:rPr>
        <w:t>-in-</w:t>
      </w:r>
      <w:r w:rsidR="00416BFC" w:rsidRPr="000B45F2">
        <w:rPr>
          <w:bCs/>
        </w:rPr>
        <w:t xml:space="preserve">themselves </w:t>
      </w:r>
      <w:r w:rsidR="008D5071" w:rsidRPr="000B45F2">
        <w:rPr>
          <w:bCs/>
        </w:rPr>
        <w:t xml:space="preserve">that the mind responds to, there really are objective considerations with deontic weight that we </w:t>
      </w:r>
      <w:r w:rsidR="00DA141E">
        <w:rPr>
          <w:bCs/>
        </w:rPr>
        <w:t xml:space="preserve">should </w:t>
      </w:r>
      <w:r w:rsidR="008D5071" w:rsidRPr="000B45F2">
        <w:rPr>
          <w:bCs/>
        </w:rPr>
        <w:t>respond to in practical deliberation. Yet,</w:t>
      </w:r>
      <w:r w:rsidR="005C41F3" w:rsidRPr="000B45F2">
        <w:rPr>
          <w:bCs/>
        </w:rPr>
        <w:t xml:space="preserve"> just as Kant thought that we play</w:t>
      </w:r>
      <w:r w:rsidR="008D5071" w:rsidRPr="000B45F2">
        <w:rPr>
          <w:bCs/>
        </w:rPr>
        <w:t xml:space="preserve"> an active role by</w:t>
      </w:r>
      <w:r w:rsidR="005C41F3" w:rsidRPr="000B45F2">
        <w:rPr>
          <w:bCs/>
        </w:rPr>
        <w:t xml:space="preserve"> applying</w:t>
      </w:r>
      <w:r w:rsidR="008D5071" w:rsidRPr="000B45F2">
        <w:rPr>
          <w:bCs/>
        </w:rPr>
        <w:t xml:space="preserve"> the categories on any possible </w:t>
      </w:r>
      <w:r w:rsidR="00051AFE" w:rsidRPr="000B45F2">
        <w:rPr>
          <w:bCs/>
        </w:rPr>
        <w:t>empirical cognition</w:t>
      </w:r>
      <w:r w:rsidR="008D5071" w:rsidRPr="000B45F2">
        <w:rPr>
          <w:bCs/>
        </w:rPr>
        <w:t xml:space="preserve">, </w:t>
      </w:r>
      <w:r w:rsidR="00480EBA" w:rsidRPr="000B45F2">
        <w:rPr>
          <w:bCs/>
        </w:rPr>
        <w:t>perhaps we</w:t>
      </w:r>
      <w:r w:rsidR="002C41DA" w:rsidRPr="000B45F2">
        <w:rPr>
          <w:bCs/>
        </w:rPr>
        <w:t xml:space="preserve"> </w:t>
      </w:r>
      <w:r w:rsidR="008D5071" w:rsidRPr="000B45F2">
        <w:rPr>
          <w:bCs/>
        </w:rPr>
        <w:t>also play an active role in determining the deontic facts</w:t>
      </w:r>
      <w:r w:rsidR="002C41DA" w:rsidRPr="000B45F2">
        <w:rPr>
          <w:bCs/>
        </w:rPr>
        <w:t xml:space="preserve"> in practical deliberation</w:t>
      </w:r>
      <w:r w:rsidR="008D5071" w:rsidRPr="000B45F2">
        <w:rPr>
          <w:bCs/>
        </w:rPr>
        <w:t xml:space="preserve"> through altering the deontic weight that supports each action.</w:t>
      </w:r>
      <w:r w:rsidR="008D5071" w:rsidRPr="000B45F2">
        <w:rPr>
          <w:rStyle w:val="FootnoteReference"/>
          <w:bCs/>
        </w:rPr>
        <w:footnoteReference w:id="7"/>
      </w:r>
      <w:r w:rsidR="008D5071" w:rsidRPr="000B45F2">
        <w:rPr>
          <w:bCs/>
        </w:rPr>
        <w:t xml:space="preserve"> </w:t>
      </w:r>
    </w:p>
    <w:p w14:paraId="26CFF5E0" w14:textId="359907E2" w:rsidR="004D29B7" w:rsidRDefault="008D5071" w:rsidP="00880ACB">
      <w:pPr>
        <w:jc w:val="both"/>
        <w:rPr>
          <w:bCs/>
        </w:rPr>
      </w:pPr>
      <w:r w:rsidRPr="000B45F2">
        <w:rPr>
          <w:bCs/>
        </w:rPr>
        <w:lastRenderedPageBreak/>
        <w:t>If something like this is correct</w:t>
      </w:r>
      <w:r w:rsidR="002F1EAF" w:rsidRPr="000B45F2">
        <w:rPr>
          <w:bCs/>
        </w:rPr>
        <w:t xml:space="preserve"> in the practical realm</w:t>
      </w:r>
      <w:r w:rsidRPr="000B45F2">
        <w:rPr>
          <w:bCs/>
        </w:rPr>
        <w:t xml:space="preserve">, note that </w:t>
      </w:r>
      <w:r w:rsidR="00AA00C9">
        <w:rPr>
          <w:bCs/>
        </w:rPr>
        <w:t xml:space="preserve">complicating our theory of deontic weight </w:t>
      </w:r>
      <w:r w:rsidR="002B4388">
        <w:rPr>
          <w:bCs/>
        </w:rPr>
        <w:t>might only account for our</w:t>
      </w:r>
      <w:r w:rsidR="00480EBA" w:rsidRPr="000B45F2">
        <w:rPr>
          <w:bCs/>
        </w:rPr>
        <w:t xml:space="preserve"> </w:t>
      </w:r>
      <w:r w:rsidR="00480EBA" w:rsidRPr="000B45F2">
        <w:rPr>
          <w:bCs/>
          <w:i/>
          <w:iCs/>
        </w:rPr>
        <w:t>passive role</w:t>
      </w:r>
      <w:r w:rsidR="00480EBA" w:rsidRPr="000B45F2">
        <w:rPr>
          <w:bCs/>
        </w:rPr>
        <w:t xml:space="preserve"> in practical deliberation</w:t>
      </w:r>
      <w:r w:rsidR="00E14A9F" w:rsidRPr="000B45F2">
        <w:rPr>
          <w:bCs/>
        </w:rPr>
        <w:t xml:space="preserve">, </w:t>
      </w:r>
      <w:r w:rsidR="00AA00C9">
        <w:rPr>
          <w:bCs/>
        </w:rPr>
        <w:t xml:space="preserve">but it </w:t>
      </w:r>
      <w:r w:rsidR="00E14A9F" w:rsidRPr="000B45F2">
        <w:rPr>
          <w:bCs/>
        </w:rPr>
        <w:t xml:space="preserve">does not address </w:t>
      </w:r>
      <w:r w:rsidR="00480EBA" w:rsidRPr="000B45F2">
        <w:rPr>
          <w:bCs/>
        </w:rPr>
        <w:t>our</w:t>
      </w:r>
      <w:r w:rsidR="008439B5" w:rsidRPr="000B45F2">
        <w:rPr>
          <w:bCs/>
        </w:rPr>
        <w:t xml:space="preserve"> potentially</w:t>
      </w:r>
      <w:r w:rsidR="00480EBA" w:rsidRPr="000B45F2">
        <w:rPr>
          <w:bCs/>
        </w:rPr>
        <w:t xml:space="preserve"> </w:t>
      </w:r>
      <w:r w:rsidR="00480EBA" w:rsidRPr="000B45F2">
        <w:rPr>
          <w:bCs/>
          <w:i/>
          <w:iCs/>
        </w:rPr>
        <w:t>active role</w:t>
      </w:r>
      <w:r w:rsidR="00E14A9F" w:rsidRPr="000B45F2">
        <w:rPr>
          <w:bCs/>
        </w:rPr>
        <w:t xml:space="preserve"> in practical deliberation</w:t>
      </w:r>
      <w:r w:rsidRPr="000B45F2">
        <w:rPr>
          <w:bCs/>
        </w:rPr>
        <w:t xml:space="preserve">. </w:t>
      </w:r>
      <w:r w:rsidR="00E14A9F" w:rsidRPr="000B45F2">
        <w:rPr>
          <w:bCs/>
        </w:rPr>
        <w:t xml:space="preserve">What </w:t>
      </w:r>
      <w:r w:rsidR="007B4575">
        <w:rPr>
          <w:bCs/>
        </w:rPr>
        <w:t>the strategy</w:t>
      </w:r>
      <w:r w:rsidR="00E14A9F" w:rsidRPr="000B45F2">
        <w:rPr>
          <w:bCs/>
        </w:rPr>
        <w:t xml:space="preserve"> tells us is that this active role</w:t>
      </w:r>
      <w:r w:rsidR="003D1FA9" w:rsidRPr="000B45F2">
        <w:rPr>
          <w:bCs/>
        </w:rPr>
        <w:t xml:space="preserve"> lies in</w:t>
      </w:r>
      <w:r w:rsidR="00E14A9F" w:rsidRPr="000B45F2">
        <w:rPr>
          <w:bCs/>
        </w:rPr>
        <w:t xml:space="preserve"> our ability </w:t>
      </w:r>
      <w:r w:rsidR="003D1FA9" w:rsidRPr="000B45F2">
        <w:rPr>
          <w:bCs/>
        </w:rPr>
        <w:t>to</w:t>
      </w:r>
      <w:r w:rsidR="00E14A9F" w:rsidRPr="000B45F2">
        <w:rPr>
          <w:bCs/>
        </w:rPr>
        <w:t xml:space="preserve"> </w:t>
      </w:r>
      <w:r w:rsidR="007C3AA5">
        <w:rPr>
          <w:bCs/>
        </w:rPr>
        <w:t>alter</w:t>
      </w:r>
      <w:r w:rsidR="00E14A9F" w:rsidRPr="000B45F2">
        <w:rPr>
          <w:bCs/>
        </w:rPr>
        <w:t xml:space="preserve"> the deontic weight support</w:t>
      </w:r>
      <w:r w:rsidR="002D0AB4" w:rsidRPr="000B45F2">
        <w:rPr>
          <w:bCs/>
        </w:rPr>
        <w:t xml:space="preserve">ing </w:t>
      </w:r>
      <w:r w:rsidR="00B50AC0" w:rsidRPr="000B45F2">
        <w:rPr>
          <w:bCs/>
        </w:rPr>
        <w:t>each action</w:t>
      </w:r>
      <w:r w:rsidR="00E14A9F" w:rsidRPr="000B45F2">
        <w:rPr>
          <w:bCs/>
        </w:rPr>
        <w:t xml:space="preserve"> in a choice context</w:t>
      </w:r>
      <w:r w:rsidR="004C1768">
        <w:rPr>
          <w:bCs/>
        </w:rPr>
        <w:t xml:space="preserve"> or to even create reasons to alter our choice context</w:t>
      </w:r>
      <w:r w:rsidR="00E14A9F" w:rsidRPr="000B45F2">
        <w:rPr>
          <w:bCs/>
        </w:rPr>
        <w:t xml:space="preserve">. </w:t>
      </w:r>
    </w:p>
    <w:p w14:paraId="6DA0DC5B" w14:textId="4B0A6333" w:rsidR="004D29B7" w:rsidRDefault="008E22E0" w:rsidP="00880ACB">
      <w:pPr>
        <w:jc w:val="both"/>
        <w:rPr>
          <w:bCs/>
        </w:rPr>
      </w:pPr>
      <w:r>
        <w:rPr>
          <w:bCs/>
        </w:rPr>
        <w:t xml:space="preserve">Beyond the </w:t>
      </w:r>
      <w:r w:rsidR="004D29B7">
        <w:rPr>
          <w:bCs/>
        </w:rPr>
        <w:t>Kant</w:t>
      </w:r>
      <w:r w:rsidR="002B4388">
        <w:rPr>
          <w:bCs/>
        </w:rPr>
        <w:t>ian</w:t>
      </w:r>
      <w:r>
        <w:rPr>
          <w:bCs/>
        </w:rPr>
        <w:t xml:space="preserve"> point,</w:t>
      </w:r>
      <w:r w:rsidR="004D29B7">
        <w:rPr>
          <w:bCs/>
        </w:rPr>
        <w:t xml:space="preserve"> </w:t>
      </w:r>
      <w:r>
        <w:rPr>
          <w:bCs/>
        </w:rPr>
        <w:t xml:space="preserve">let us </w:t>
      </w:r>
      <w:r w:rsidR="0075220D">
        <w:rPr>
          <w:bCs/>
        </w:rPr>
        <w:t xml:space="preserve">consider a more straightforward </w:t>
      </w:r>
      <w:r w:rsidR="006909A1">
        <w:rPr>
          <w:bCs/>
        </w:rPr>
        <w:t>motivation for the strategy</w:t>
      </w:r>
      <w:r>
        <w:rPr>
          <w:bCs/>
        </w:rPr>
        <w:t xml:space="preserve">: </w:t>
      </w:r>
      <w:r w:rsidR="004C2ABF">
        <w:rPr>
          <w:bCs/>
        </w:rPr>
        <w:t>it makes sense of more ordinary cases</w:t>
      </w:r>
      <w:r w:rsidR="0075220D">
        <w:rPr>
          <w:bCs/>
        </w:rPr>
        <w:t>.</w:t>
      </w:r>
      <w:r w:rsidRPr="008E22E0">
        <w:rPr>
          <w:rStyle w:val="FootnoteReference"/>
          <w:bCs/>
        </w:rPr>
        <w:t xml:space="preserve"> </w:t>
      </w:r>
      <w:r w:rsidRPr="000B45F2">
        <w:rPr>
          <w:rStyle w:val="FootnoteReference"/>
          <w:bCs/>
        </w:rPr>
        <w:footnoteReference w:id="8"/>
      </w:r>
      <w:r>
        <w:rPr>
          <w:bCs/>
        </w:rPr>
        <w:t xml:space="preserve"> When we consider</w:t>
      </w:r>
      <w:r w:rsidR="0075220D">
        <w:rPr>
          <w:bCs/>
        </w:rPr>
        <w:t xml:space="preserve"> low-stakes cases</w:t>
      </w:r>
      <w:r>
        <w:rPr>
          <w:bCs/>
        </w:rPr>
        <w:t>,</w:t>
      </w:r>
      <w:r w:rsidR="0075220D">
        <w:rPr>
          <w:bCs/>
        </w:rPr>
        <w:t xml:space="preserve"> we intuitively have some direct</w:t>
      </w:r>
      <w:r w:rsidR="004D29B7">
        <w:rPr>
          <w:bCs/>
        </w:rPr>
        <w:t xml:space="preserve"> control over the weight of the reasons that apply to us</w:t>
      </w:r>
      <w:r w:rsidR="0075220D">
        <w:rPr>
          <w:bCs/>
        </w:rPr>
        <w:t xml:space="preserve"> or others. </w:t>
      </w:r>
      <w:r w:rsidR="004D29B7">
        <w:rPr>
          <w:bCs/>
        </w:rPr>
        <w:t xml:space="preserve"> </w:t>
      </w:r>
      <w:r w:rsidR="002B4388">
        <w:rPr>
          <w:bCs/>
        </w:rPr>
        <w:t>H</w:t>
      </w:r>
      <w:r w:rsidR="00F75FC9">
        <w:rPr>
          <w:bCs/>
        </w:rPr>
        <w:t xml:space="preserve">aving a strong desire </w:t>
      </w:r>
      <w:r w:rsidR="0075220D">
        <w:rPr>
          <w:bCs/>
        </w:rPr>
        <w:t>to get</w:t>
      </w:r>
      <w:r w:rsidR="00F75FC9">
        <w:rPr>
          <w:bCs/>
        </w:rPr>
        <w:t xml:space="preserve"> something (e.g.</w:t>
      </w:r>
      <w:r w:rsidR="0075220D">
        <w:rPr>
          <w:bCs/>
        </w:rPr>
        <w:t>,</w:t>
      </w:r>
      <w:r w:rsidR="00F75FC9">
        <w:rPr>
          <w:bCs/>
        </w:rPr>
        <w:t xml:space="preserve"> ice cream) or promising to do something (e.g.</w:t>
      </w:r>
      <w:r w:rsidR="0075220D">
        <w:rPr>
          <w:bCs/>
        </w:rPr>
        <w:t>,</w:t>
      </w:r>
      <w:r w:rsidR="00F75FC9">
        <w:rPr>
          <w:bCs/>
        </w:rPr>
        <w:t xml:space="preserve"> </w:t>
      </w:r>
      <w:r w:rsidR="0075220D">
        <w:rPr>
          <w:bCs/>
        </w:rPr>
        <w:t>buying you a movie ticket</w:t>
      </w:r>
      <w:r w:rsidR="00F75FC9">
        <w:rPr>
          <w:bCs/>
        </w:rPr>
        <w:t>) either creates a reason or strengthens an existing reason to do</w:t>
      </w:r>
      <w:r w:rsidR="0075220D">
        <w:rPr>
          <w:bCs/>
        </w:rPr>
        <w:t xml:space="preserve"> or get that thing</w:t>
      </w:r>
      <w:r w:rsidR="00F75FC9">
        <w:rPr>
          <w:bCs/>
        </w:rPr>
        <w:t xml:space="preserve">. In other cases, we </w:t>
      </w:r>
      <w:r w:rsidR="002B4388">
        <w:rPr>
          <w:bCs/>
        </w:rPr>
        <w:t>can also</w:t>
      </w:r>
      <w:r w:rsidR="0075220D">
        <w:rPr>
          <w:bCs/>
        </w:rPr>
        <w:t xml:space="preserve"> reduce the strength of a reason that applies to others (e.g., though you ordinarily have reasons not to </w:t>
      </w:r>
      <w:r w:rsidR="002B4388">
        <w:rPr>
          <w:bCs/>
        </w:rPr>
        <w:t>poke fun at me</w:t>
      </w:r>
      <w:r w:rsidR="0075220D">
        <w:rPr>
          <w:bCs/>
        </w:rPr>
        <w:t>, I grant you the permission to do so at a comedy roast for everyone’s enjoyment).</w:t>
      </w:r>
      <w:r>
        <w:rPr>
          <w:bCs/>
        </w:rPr>
        <w:t xml:space="preserve"> </w:t>
      </w:r>
      <w:r w:rsidR="006909A1">
        <w:rPr>
          <w:bCs/>
        </w:rPr>
        <w:t>If</w:t>
      </w:r>
      <w:r w:rsidR="0041284F">
        <w:rPr>
          <w:bCs/>
        </w:rPr>
        <w:t xml:space="preserve"> the above is plausible,</w:t>
      </w:r>
      <w:r>
        <w:rPr>
          <w:bCs/>
        </w:rPr>
        <w:t xml:space="preserve"> </w:t>
      </w:r>
      <w:r w:rsidR="006909A1">
        <w:rPr>
          <w:bCs/>
        </w:rPr>
        <w:t>there is</w:t>
      </w:r>
      <w:r w:rsidR="00F74964">
        <w:rPr>
          <w:bCs/>
        </w:rPr>
        <w:t xml:space="preserve"> some</w:t>
      </w:r>
      <w:r w:rsidR="006909A1">
        <w:rPr>
          <w:bCs/>
        </w:rPr>
        <w:t xml:space="preserve"> hope that t</w:t>
      </w:r>
      <w:r w:rsidR="0041284F">
        <w:rPr>
          <w:bCs/>
        </w:rPr>
        <w:t>he lessons we learn from lower stakes cases</w:t>
      </w:r>
      <w:r w:rsidR="009D7A94">
        <w:rPr>
          <w:bCs/>
        </w:rPr>
        <w:t xml:space="preserve"> in common</w:t>
      </w:r>
      <w:r w:rsidR="00D542C6">
        <w:rPr>
          <w:bCs/>
        </w:rPr>
        <w:t xml:space="preserve"> </w:t>
      </w:r>
      <w:r w:rsidR="009D7A94">
        <w:rPr>
          <w:bCs/>
        </w:rPr>
        <w:t>sense morality</w:t>
      </w:r>
      <w:r w:rsidR="00F64483">
        <w:rPr>
          <w:bCs/>
        </w:rPr>
        <w:t xml:space="preserve"> can be extended into a</w:t>
      </w:r>
      <w:r w:rsidR="0041284F">
        <w:rPr>
          <w:bCs/>
        </w:rPr>
        <w:t xml:space="preserve"> </w:t>
      </w:r>
      <w:r w:rsidR="001616FE">
        <w:rPr>
          <w:bCs/>
        </w:rPr>
        <w:t>neat</w:t>
      </w:r>
      <w:r w:rsidR="0041284F">
        <w:rPr>
          <w:bCs/>
        </w:rPr>
        <w:t xml:space="preserve"> explanation of</w:t>
      </w:r>
      <w:r w:rsidR="00F64483">
        <w:rPr>
          <w:bCs/>
        </w:rPr>
        <w:t xml:space="preserve"> </w:t>
      </w:r>
      <w:r w:rsidR="00D542C6">
        <w:rPr>
          <w:bCs/>
        </w:rPr>
        <w:t xml:space="preserve">higher </w:t>
      </w:r>
      <w:r w:rsidR="0041284F">
        <w:rPr>
          <w:bCs/>
        </w:rPr>
        <w:t>stakes cases</w:t>
      </w:r>
      <w:r w:rsidR="009D7A94">
        <w:rPr>
          <w:bCs/>
        </w:rPr>
        <w:t>.</w:t>
      </w:r>
    </w:p>
    <w:p w14:paraId="215CFE88" w14:textId="77777777" w:rsidR="00121403" w:rsidRDefault="00885E81" w:rsidP="00880ACB">
      <w:pPr>
        <w:jc w:val="both"/>
        <w:rPr>
          <w:bCs/>
        </w:rPr>
      </w:pPr>
      <w:r>
        <w:rPr>
          <w:bCs/>
        </w:rPr>
        <w:t>Lastly</w:t>
      </w:r>
      <w:r w:rsidR="001217EF">
        <w:rPr>
          <w:bCs/>
        </w:rPr>
        <w:t xml:space="preserve">, </w:t>
      </w:r>
      <w:r w:rsidR="00F64483">
        <w:rPr>
          <w:bCs/>
        </w:rPr>
        <w:t xml:space="preserve">let me </w:t>
      </w:r>
      <w:r>
        <w:rPr>
          <w:bCs/>
        </w:rPr>
        <w:t xml:space="preserve">explain why the </w:t>
      </w:r>
      <w:r w:rsidR="00F43069">
        <w:rPr>
          <w:bCs/>
        </w:rPr>
        <w:t xml:space="preserve">Deontic Weight Strategy </w:t>
      </w:r>
      <w:r>
        <w:rPr>
          <w:bCs/>
        </w:rPr>
        <w:t>differs from</w:t>
      </w:r>
      <w:r w:rsidR="001A5DEE">
        <w:rPr>
          <w:bCs/>
        </w:rPr>
        <w:t xml:space="preserve"> </w:t>
      </w:r>
      <w:r w:rsidR="004C1768">
        <w:rPr>
          <w:bCs/>
        </w:rPr>
        <w:t>appeal</w:t>
      </w:r>
      <w:r w:rsidR="007F1A8F">
        <w:rPr>
          <w:bCs/>
        </w:rPr>
        <w:t>ing</w:t>
      </w:r>
      <w:r w:rsidR="004C1768">
        <w:rPr>
          <w:bCs/>
        </w:rPr>
        <w:t xml:space="preserve"> to a distinction between the</w:t>
      </w:r>
      <w:r w:rsidR="001A5DEE">
        <w:rPr>
          <w:bCs/>
        </w:rPr>
        <w:t xml:space="preserve"> justifying and requiring strength of reasons.</w:t>
      </w:r>
      <w:r w:rsidR="001217EF">
        <w:rPr>
          <w:rStyle w:val="FootnoteReference"/>
          <w:bCs/>
        </w:rPr>
        <w:footnoteReference w:id="9"/>
      </w:r>
      <w:r w:rsidR="001A5DEE">
        <w:rPr>
          <w:bCs/>
        </w:rPr>
        <w:t xml:space="preserve"> </w:t>
      </w:r>
      <w:r w:rsidR="00F64483">
        <w:rPr>
          <w:bCs/>
        </w:rPr>
        <w:t xml:space="preserve">As </w:t>
      </w:r>
      <w:r w:rsidR="001616FE">
        <w:rPr>
          <w:bCs/>
        </w:rPr>
        <w:t>noted</w:t>
      </w:r>
      <w:r w:rsidR="00F64483">
        <w:rPr>
          <w:bCs/>
        </w:rPr>
        <w:t>, the</w:t>
      </w:r>
      <w:r w:rsidR="00E7640D">
        <w:rPr>
          <w:bCs/>
        </w:rPr>
        <w:t xml:space="preserve"> Deontic Weight Strategy does not posit that reasons have two distinct </w:t>
      </w:r>
      <w:r w:rsidR="007F1A8F">
        <w:rPr>
          <w:bCs/>
        </w:rPr>
        <w:t xml:space="preserve">and potentially incommensurable </w:t>
      </w:r>
      <w:r w:rsidR="00E7640D">
        <w:rPr>
          <w:bCs/>
        </w:rPr>
        <w:t>ways of favorin</w:t>
      </w:r>
      <w:r w:rsidR="007F1A8F">
        <w:rPr>
          <w:bCs/>
        </w:rPr>
        <w:t>g or disfavoring</w:t>
      </w:r>
      <w:r w:rsidR="00E7640D">
        <w:rPr>
          <w:bCs/>
        </w:rPr>
        <w:t xml:space="preserve"> actions. Instead, it grants that all reasons are commensurable with each other </w:t>
      </w:r>
      <w:r w:rsidR="007F1A8F">
        <w:rPr>
          <w:bCs/>
        </w:rPr>
        <w:t>on a</w:t>
      </w:r>
      <w:r w:rsidR="00FB6343">
        <w:rPr>
          <w:bCs/>
        </w:rPr>
        <w:t xml:space="preserve"> univocal</w:t>
      </w:r>
      <w:r w:rsidR="007F1A8F">
        <w:rPr>
          <w:bCs/>
        </w:rPr>
        <w:t xml:space="preserve"> notion of reasons weight</w:t>
      </w:r>
      <w:r w:rsidR="00E7640D">
        <w:rPr>
          <w:bCs/>
        </w:rPr>
        <w:t>.</w:t>
      </w:r>
      <w:r w:rsidR="00E7640D">
        <w:rPr>
          <w:rStyle w:val="FootnoteReference"/>
          <w:bCs/>
        </w:rPr>
        <w:footnoteReference w:id="10"/>
      </w:r>
      <w:r w:rsidR="00FB6343">
        <w:rPr>
          <w:bCs/>
        </w:rPr>
        <w:t xml:space="preserve"> </w:t>
      </w:r>
    </w:p>
    <w:p w14:paraId="54D51A6D" w14:textId="70DD6E7A" w:rsidR="00121403" w:rsidRDefault="00FB6343" w:rsidP="00880ACB">
      <w:pPr>
        <w:jc w:val="both"/>
        <w:rPr>
          <w:bCs/>
        </w:rPr>
      </w:pPr>
      <w:r>
        <w:rPr>
          <w:bCs/>
        </w:rPr>
        <w:t>Second, the</w:t>
      </w:r>
      <w:r w:rsidR="004C1768">
        <w:rPr>
          <w:bCs/>
        </w:rPr>
        <w:t xml:space="preserve"> Deontic Weight Strategy</w:t>
      </w:r>
      <w:r>
        <w:rPr>
          <w:bCs/>
        </w:rPr>
        <w:t xml:space="preserve"> emphasi</w:t>
      </w:r>
      <w:r w:rsidR="004C1768">
        <w:rPr>
          <w:bCs/>
        </w:rPr>
        <w:t>zes</w:t>
      </w:r>
      <w:r>
        <w:rPr>
          <w:bCs/>
        </w:rPr>
        <w:t xml:space="preserve"> </w:t>
      </w:r>
      <w:r w:rsidR="004C1768">
        <w:rPr>
          <w:bCs/>
        </w:rPr>
        <w:t>an</w:t>
      </w:r>
      <w:r>
        <w:rPr>
          <w:bCs/>
        </w:rPr>
        <w:t xml:space="preserve"> agent’s ability to create reasons or to add or subtract the weight of existing reasons.</w:t>
      </w:r>
      <w:r w:rsidR="004C1768">
        <w:rPr>
          <w:bCs/>
        </w:rPr>
        <w:t xml:space="preserve"> </w:t>
      </w:r>
      <w:r w:rsidR="007F1A8F">
        <w:rPr>
          <w:bCs/>
        </w:rPr>
        <w:t>Though th</w:t>
      </w:r>
      <w:r w:rsidR="00C66A80">
        <w:rPr>
          <w:bCs/>
        </w:rPr>
        <w:t>e</w:t>
      </w:r>
      <w:r w:rsidR="007F1A8F">
        <w:rPr>
          <w:bCs/>
        </w:rPr>
        <w:t xml:space="preserve"> defender</w:t>
      </w:r>
      <w:r w:rsidR="004C1768">
        <w:rPr>
          <w:bCs/>
        </w:rPr>
        <w:t xml:space="preserve"> of the distinction between the justifying and requiring strength of reasons</w:t>
      </w:r>
      <w:r w:rsidR="007F1A8F">
        <w:rPr>
          <w:bCs/>
        </w:rPr>
        <w:t xml:space="preserve"> can </w:t>
      </w:r>
      <w:r w:rsidR="00F74964">
        <w:rPr>
          <w:bCs/>
        </w:rPr>
        <w:t>make this point as well</w:t>
      </w:r>
      <w:r w:rsidR="007F1A8F">
        <w:rPr>
          <w:bCs/>
        </w:rPr>
        <w:t xml:space="preserve">, </w:t>
      </w:r>
      <w:r w:rsidR="0041284F">
        <w:rPr>
          <w:bCs/>
        </w:rPr>
        <w:t xml:space="preserve">it is not </w:t>
      </w:r>
      <w:r w:rsidR="00F74964">
        <w:rPr>
          <w:bCs/>
        </w:rPr>
        <w:t>a commitment of their view</w:t>
      </w:r>
      <w:r w:rsidR="004C1768">
        <w:rPr>
          <w:bCs/>
        </w:rPr>
        <w:t>. Instead, the defender of the distinction</w:t>
      </w:r>
      <w:r w:rsidR="007F1A8F">
        <w:rPr>
          <w:bCs/>
        </w:rPr>
        <w:t xml:space="preserve"> can</w:t>
      </w:r>
      <w:r w:rsidR="004C1768">
        <w:rPr>
          <w:bCs/>
        </w:rPr>
        <w:t xml:space="preserve"> accommodate common</w:t>
      </w:r>
      <w:r w:rsidR="00183E96">
        <w:rPr>
          <w:bCs/>
        </w:rPr>
        <w:t xml:space="preserve"> </w:t>
      </w:r>
      <w:r w:rsidR="004C1768">
        <w:rPr>
          <w:bCs/>
        </w:rPr>
        <w:t xml:space="preserve">sense morality in terms of an agent’s </w:t>
      </w:r>
      <w:r w:rsidR="004C1768">
        <w:rPr>
          <w:bCs/>
          <w:i/>
          <w:iCs/>
        </w:rPr>
        <w:t>response</w:t>
      </w:r>
      <w:r w:rsidR="004C1768">
        <w:rPr>
          <w:bCs/>
        </w:rPr>
        <w:t xml:space="preserve"> to existing differences in the justifying and requiring strength of reasons. </w:t>
      </w:r>
    </w:p>
    <w:p w14:paraId="51CFA243" w14:textId="70F79E30" w:rsidR="00452EE5" w:rsidRDefault="00452EE5" w:rsidP="00880ACB">
      <w:pPr>
        <w:jc w:val="both"/>
        <w:rPr>
          <w:bCs/>
        </w:rPr>
      </w:pPr>
      <w:r>
        <w:rPr>
          <w:bCs/>
        </w:rPr>
        <w:lastRenderedPageBreak/>
        <w:t xml:space="preserve">Note </w:t>
      </w:r>
      <w:r w:rsidR="002B0D87">
        <w:rPr>
          <w:bCs/>
        </w:rPr>
        <w:t xml:space="preserve">that I will not be </w:t>
      </w:r>
      <w:r>
        <w:rPr>
          <w:bCs/>
        </w:rPr>
        <w:t>criticizing the distinction between the justifying and requiring strength of reasons.</w:t>
      </w:r>
      <w:r w:rsidR="002B0D87">
        <w:rPr>
          <w:bCs/>
        </w:rPr>
        <w:t xml:space="preserve"> Nor will I directly compare it with the Deontic Weight Strategy.</w:t>
      </w:r>
      <w:r>
        <w:rPr>
          <w:bCs/>
        </w:rPr>
        <w:t xml:space="preserve"> </w:t>
      </w:r>
      <w:r w:rsidR="00121403">
        <w:rPr>
          <w:bCs/>
        </w:rPr>
        <w:t>Though I think we have</w:t>
      </w:r>
      <w:r>
        <w:rPr>
          <w:bCs/>
        </w:rPr>
        <w:t xml:space="preserve"> reason to reject the distinction</w:t>
      </w:r>
      <w:r w:rsidR="00121403">
        <w:rPr>
          <w:bCs/>
        </w:rPr>
        <w:t xml:space="preserve">, </w:t>
      </w:r>
      <w:r w:rsidR="00AD117F">
        <w:rPr>
          <w:bCs/>
        </w:rPr>
        <w:t>it also provide</w:t>
      </w:r>
      <w:r w:rsidR="00183E96">
        <w:rPr>
          <w:bCs/>
        </w:rPr>
        <w:t>s a</w:t>
      </w:r>
      <w:r w:rsidR="00AD117F">
        <w:rPr>
          <w:bCs/>
        </w:rPr>
        <w:t xml:space="preserve"> fairly neat way</w:t>
      </w:r>
      <w:r w:rsidR="00183E96">
        <w:rPr>
          <w:bCs/>
        </w:rPr>
        <w:t xml:space="preserve"> </w:t>
      </w:r>
      <w:r w:rsidR="00AD117F">
        <w:rPr>
          <w:bCs/>
        </w:rPr>
        <w:t>of squaring the weigh-ought connection with</w:t>
      </w:r>
      <w:r w:rsidR="002B0D87">
        <w:rPr>
          <w:bCs/>
        </w:rPr>
        <w:t xml:space="preserve"> </w:t>
      </w:r>
      <w:r w:rsidR="00121403">
        <w:rPr>
          <w:bCs/>
        </w:rPr>
        <w:t>common</w:t>
      </w:r>
      <w:r w:rsidR="00D542C6">
        <w:rPr>
          <w:bCs/>
        </w:rPr>
        <w:t xml:space="preserve"> </w:t>
      </w:r>
      <w:r w:rsidR="00121403">
        <w:rPr>
          <w:bCs/>
        </w:rPr>
        <w:t>sense morality</w:t>
      </w:r>
      <w:r>
        <w:rPr>
          <w:bCs/>
        </w:rPr>
        <w:t>.</w:t>
      </w:r>
      <w:r w:rsidR="002B0D87">
        <w:rPr>
          <w:rStyle w:val="FootnoteReference"/>
          <w:bCs/>
        </w:rPr>
        <w:footnoteReference w:id="11"/>
      </w:r>
      <w:r>
        <w:rPr>
          <w:bCs/>
        </w:rPr>
        <w:t xml:space="preserve"> </w:t>
      </w:r>
      <w:r w:rsidR="00AD117F">
        <w:rPr>
          <w:bCs/>
        </w:rPr>
        <w:t>Finally, if</w:t>
      </w:r>
      <w:r w:rsidR="001217EF">
        <w:rPr>
          <w:bCs/>
        </w:rPr>
        <w:t xml:space="preserve"> the reader</w:t>
      </w:r>
      <w:r w:rsidR="007F1A8F">
        <w:rPr>
          <w:bCs/>
        </w:rPr>
        <w:t xml:space="preserve"> </w:t>
      </w:r>
      <w:r w:rsidR="00891B76">
        <w:rPr>
          <w:bCs/>
        </w:rPr>
        <w:t>insists</w:t>
      </w:r>
      <w:r w:rsidR="001217EF">
        <w:rPr>
          <w:bCs/>
        </w:rPr>
        <w:t xml:space="preserve"> that the Deontic W</w:t>
      </w:r>
      <w:r w:rsidR="002525D6">
        <w:rPr>
          <w:bCs/>
        </w:rPr>
        <w:t>e</w:t>
      </w:r>
      <w:r w:rsidR="001217EF">
        <w:rPr>
          <w:bCs/>
        </w:rPr>
        <w:t xml:space="preserve">ight Strategy </w:t>
      </w:r>
      <w:r w:rsidR="002525D6">
        <w:rPr>
          <w:bCs/>
        </w:rPr>
        <w:t xml:space="preserve">is </w:t>
      </w:r>
      <w:r w:rsidR="00EE487E">
        <w:rPr>
          <w:bCs/>
        </w:rPr>
        <w:t>ultimately another way</w:t>
      </w:r>
      <w:r w:rsidR="007F1A8F">
        <w:rPr>
          <w:bCs/>
        </w:rPr>
        <w:t xml:space="preserve"> of</w:t>
      </w:r>
      <w:r w:rsidR="004C1768">
        <w:rPr>
          <w:bCs/>
        </w:rPr>
        <w:t xml:space="preserve"> explicating</w:t>
      </w:r>
      <w:r w:rsidR="001217EF">
        <w:rPr>
          <w:bCs/>
        </w:rPr>
        <w:t xml:space="preserve"> </w:t>
      </w:r>
      <w:r w:rsidR="007F1A8F">
        <w:rPr>
          <w:bCs/>
        </w:rPr>
        <w:t>the</w:t>
      </w:r>
      <w:r w:rsidR="00033057">
        <w:rPr>
          <w:bCs/>
        </w:rPr>
        <w:t xml:space="preserve"> distinction</w:t>
      </w:r>
      <w:r w:rsidR="001217EF">
        <w:rPr>
          <w:bCs/>
        </w:rPr>
        <w:t xml:space="preserve"> between the justifying and requiring strength of reasons</w:t>
      </w:r>
      <w:r w:rsidR="00033057">
        <w:rPr>
          <w:bCs/>
        </w:rPr>
        <w:t xml:space="preserve"> </w:t>
      </w:r>
      <w:r w:rsidR="00F64483">
        <w:rPr>
          <w:bCs/>
        </w:rPr>
        <w:t xml:space="preserve">or that </w:t>
      </w:r>
      <w:r w:rsidR="00F74964">
        <w:rPr>
          <w:bCs/>
        </w:rPr>
        <w:t>these</w:t>
      </w:r>
      <w:r w:rsidR="00F64483">
        <w:rPr>
          <w:bCs/>
        </w:rPr>
        <w:t xml:space="preserve"> views somehow collapse into one another</w:t>
      </w:r>
      <w:r w:rsidR="00E7640D">
        <w:rPr>
          <w:bCs/>
        </w:rPr>
        <w:t xml:space="preserve">, then she is invited to view the present discussion as </w:t>
      </w:r>
      <w:r w:rsidR="00F74964">
        <w:rPr>
          <w:bCs/>
        </w:rPr>
        <w:t>a way of</w:t>
      </w:r>
      <w:r w:rsidR="00D36EC2">
        <w:rPr>
          <w:bCs/>
        </w:rPr>
        <w:t xml:space="preserve"> </w:t>
      </w:r>
      <w:r w:rsidR="00E7640D">
        <w:rPr>
          <w:bCs/>
        </w:rPr>
        <w:t>explor</w:t>
      </w:r>
      <w:r w:rsidR="00D36EC2">
        <w:rPr>
          <w:bCs/>
        </w:rPr>
        <w:t xml:space="preserve">ing, developing, and critiquing </w:t>
      </w:r>
      <w:r w:rsidR="00711349">
        <w:rPr>
          <w:bCs/>
        </w:rPr>
        <w:t>the later view too</w:t>
      </w:r>
      <w:r w:rsidR="00D36EC2">
        <w:rPr>
          <w:bCs/>
        </w:rPr>
        <w:t>.</w:t>
      </w:r>
    </w:p>
    <w:p w14:paraId="31258BED" w14:textId="3FD2DF62" w:rsidR="00D36EC2" w:rsidRDefault="002A2818" w:rsidP="00880ACB">
      <w:pPr>
        <w:jc w:val="both"/>
        <w:rPr>
          <w:bCs/>
        </w:rPr>
      </w:pPr>
      <w:r>
        <w:rPr>
          <w:bCs/>
        </w:rPr>
        <w:t>With motivation in place, l</w:t>
      </w:r>
      <w:r w:rsidR="00260367">
        <w:rPr>
          <w:bCs/>
        </w:rPr>
        <w:t>et us turn to the strategy.</w:t>
      </w:r>
    </w:p>
    <w:p w14:paraId="173EB8B5" w14:textId="3AB8E84B" w:rsidR="005059C5" w:rsidRPr="00FB2F01" w:rsidRDefault="005059C5" w:rsidP="00880ACB">
      <w:pPr>
        <w:pStyle w:val="Roeber-HeadingA"/>
        <w:jc w:val="both"/>
      </w:pPr>
      <w:r w:rsidRPr="00FB2F01">
        <w:t>2. The Deontic Weight Strategy</w:t>
      </w:r>
    </w:p>
    <w:p w14:paraId="294F4C93" w14:textId="7CDC01DA" w:rsidR="002C1B4F" w:rsidRPr="000B45F2" w:rsidRDefault="002C1B4F" w:rsidP="00880ACB">
      <w:pPr>
        <w:jc w:val="both"/>
        <w:rPr>
          <w:bCs/>
        </w:rPr>
      </w:pPr>
      <w:r w:rsidRPr="000B45F2">
        <w:rPr>
          <w:bCs/>
        </w:rPr>
        <w:t xml:space="preserve">On </w:t>
      </w:r>
      <w:r w:rsidR="007B4575">
        <w:rPr>
          <w:bCs/>
        </w:rPr>
        <w:t>the Deontic Weight Strategy</w:t>
      </w:r>
      <w:r w:rsidRPr="000B45F2">
        <w:rPr>
          <w:bCs/>
        </w:rPr>
        <w:t xml:space="preserve">, agents have </w:t>
      </w:r>
      <w:r w:rsidR="00D35734">
        <w:rPr>
          <w:bCs/>
        </w:rPr>
        <w:t xml:space="preserve">significant </w:t>
      </w:r>
      <w:r w:rsidRPr="000B45F2">
        <w:rPr>
          <w:bCs/>
        </w:rPr>
        <w:t xml:space="preserve">control </w:t>
      </w:r>
      <w:r w:rsidR="00D35734">
        <w:rPr>
          <w:bCs/>
        </w:rPr>
        <w:t xml:space="preserve">over </w:t>
      </w:r>
      <w:r w:rsidRPr="000B45F2">
        <w:rPr>
          <w:bCs/>
        </w:rPr>
        <w:t xml:space="preserve">what they ought to do or what they are obligated to do by having the </w:t>
      </w:r>
      <w:r w:rsidR="00D35734">
        <w:rPr>
          <w:bCs/>
        </w:rPr>
        <w:t xml:space="preserve">limited </w:t>
      </w:r>
      <w:r w:rsidRPr="000B45F2">
        <w:rPr>
          <w:bCs/>
        </w:rPr>
        <w:t>ability to add or remove deontic weight that is attached to each action. This control, in turn, is what helps account for the permissions and restrictions we encounter in common</w:t>
      </w:r>
      <w:r w:rsidR="00D542C6">
        <w:rPr>
          <w:bCs/>
        </w:rPr>
        <w:t xml:space="preserve"> </w:t>
      </w:r>
      <w:r w:rsidRPr="000B45F2">
        <w:rPr>
          <w:bCs/>
        </w:rPr>
        <w:t xml:space="preserve">sense morality. </w:t>
      </w:r>
      <w:r w:rsidR="00EB5378">
        <w:rPr>
          <w:bCs/>
        </w:rPr>
        <w:t xml:space="preserve">Before considering what could ground this ability to </w:t>
      </w:r>
      <w:r w:rsidR="007C3AA5">
        <w:rPr>
          <w:bCs/>
        </w:rPr>
        <w:t>alter</w:t>
      </w:r>
      <w:r w:rsidR="00EB5378">
        <w:rPr>
          <w:bCs/>
        </w:rPr>
        <w:t xml:space="preserve"> deontic weight, let us demonstrate </w:t>
      </w:r>
      <w:r w:rsidR="00864981">
        <w:rPr>
          <w:bCs/>
        </w:rPr>
        <w:t>the strategy by returning to</w:t>
      </w:r>
      <w:r w:rsidR="00EB5378">
        <w:rPr>
          <w:bCs/>
        </w:rPr>
        <w:t xml:space="preserve"> the cases that started our discussion.</w:t>
      </w:r>
    </w:p>
    <w:p w14:paraId="675C7C22" w14:textId="251CE675" w:rsidR="00CF362E" w:rsidRPr="000B45F2" w:rsidRDefault="005F0514" w:rsidP="00880ACB">
      <w:pPr>
        <w:jc w:val="both"/>
        <w:rPr>
          <w:bCs/>
        </w:rPr>
      </w:pPr>
      <w:r w:rsidRPr="000B45F2">
        <w:rPr>
          <w:bCs/>
        </w:rPr>
        <w:t xml:space="preserve">Recall </w:t>
      </w:r>
      <w:r w:rsidR="00BE5E38" w:rsidRPr="000B45F2">
        <w:rPr>
          <w:bCs/>
        </w:rPr>
        <w:t xml:space="preserve">Exercise or </w:t>
      </w:r>
      <w:r w:rsidR="00A31C7C" w:rsidRPr="000B45F2">
        <w:rPr>
          <w:bCs/>
        </w:rPr>
        <w:t xml:space="preserve">Couch. </w:t>
      </w:r>
      <w:r w:rsidR="00AC6DBB" w:rsidRPr="000B45F2">
        <w:rPr>
          <w:bCs/>
        </w:rPr>
        <w:t>We</w:t>
      </w:r>
      <w:r w:rsidR="00A31C7C" w:rsidRPr="000B45F2">
        <w:rPr>
          <w:bCs/>
        </w:rPr>
        <w:t xml:space="preserve"> are</w:t>
      </w:r>
      <w:r w:rsidR="000B586D" w:rsidRPr="000B45F2">
        <w:rPr>
          <w:bCs/>
        </w:rPr>
        <w:t xml:space="preserve"> intuitively</w:t>
      </w:r>
      <w:r w:rsidR="00A31C7C" w:rsidRPr="000B45F2">
        <w:rPr>
          <w:bCs/>
        </w:rPr>
        <w:t xml:space="preserve"> permitted </w:t>
      </w:r>
      <w:r w:rsidR="00BE5E38" w:rsidRPr="000B45F2">
        <w:rPr>
          <w:bCs/>
        </w:rPr>
        <w:t>to choose</w:t>
      </w:r>
      <w:r w:rsidR="00724C9D" w:rsidRPr="000B45F2">
        <w:rPr>
          <w:bCs/>
        </w:rPr>
        <w:t xml:space="preserve"> between</w:t>
      </w:r>
      <w:r w:rsidR="00BE5E38" w:rsidRPr="000B45F2">
        <w:rPr>
          <w:bCs/>
        </w:rPr>
        <w:t xml:space="preserve"> exercising or staying on the couch</w:t>
      </w:r>
      <w:r w:rsidR="00724C9D" w:rsidRPr="000B45F2">
        <w:rPr>
          <w:bCs/>
        </w:rPr>
        <w:t xml:space="preserve"> even though it seems that the former option is </w:t>
      </w:r>
      <w:r w:rsidR="00274786" w:rsidRPr="000B45F2">
        <w:rPr>
          <w:bCs/>
        </w:rPr>
        <w:t>supported by</w:t>
      </w:r>
      <w:r w:rsidR="00724C9D" w:rsidRPr="000B45F2">
        <w:rPr>
          <w:bCs/>
        </w:rPr>
        <w:t xml:space="preserve"> more deontic weight.</w:t>
      </w:r>
      <w:r w:rsidR="00F418D4" w:rsidRPr="000B45F2">
        <w:rPr>
          <w:rStyle w:val="FootnoteReference"/>
          <w:bCs/>
        </w:rPr>
        <w:footnoteReference w:id="12"/>
      </w:r>
      <w:r w:rsidR="00F418D4" w:rsidRPr="000B45F2">
        <w:rPr>
          <w:bCs/>
        </w:rPr>
        <w:t xml:space="preserve"> </w:t>
      </w:r>
      <w:r w:rsidR="007B4575">
        <w:rPr>
          <w:bCs/>
        </w:rPr>
        <w:t xml:space="preserve">The strategy </w:t>
      </w:r>
      <w:r w:rsidR="004C6458" w:rsidRPr="000B45F2">
        <w:rPr>
          <w:bCs/>
        </w:rPr>
        <w:t xml:space="preserve">can capture a version of this </w:t>
      </w:r>
      <w:r w:rsidR="00201BF6" w:rsidRPr="000B45F2">
        <w:rPr>
          <w:bCs/>
        </w:rPr>
        <w:t>i</w:t>
      </w:r>
      <w:r w:rsidR="003B60E9" w:rsidRPr="000B45F2">
        <w:rPr>
          <w:bCs/>
        </w:rPr>
        <w:t>ntuition about Exercise or Couch without invoking an exception to</w:t>
      </w:r>
      <w:r w:rsidR="00201BF6" w:rsidRPr="000B45F2">
        <w:rPr>
          <w:bCs/>
        </w:rPr>
        <w:t xml:space="preserve"> </w:t>
      </w:r>
      <w:r w:rsidR="0033411A" w:rsidRPr="000B45F2">
        <w:rPr>
          <w:bCs/>
        </w:rPr>
        <w:t>the weight-ought connection</w:t>
      </w:r>
      <w:r w:rsidR="00201BF6" w:rsidRPr="000B45F2">
        <w:rPr>
          <w:bCs/>
        </w:rPr>
        <w:t>. Instead, it accounts for permission</w:t>
      </w:r>
      <w:r w:rsidR="00A0743E" w:rsidRPr="000B45F2">
        <w:rPr>
          <w:bCs/>
        </w:rPr>
        <w:t>s</w:t>
      </w:r>
      <w:r w:rsidR="00201BF6" w:rsidRPr="000B45F2">
        <w:rPr>
          <w:bCs/>
        </w:rPr>
        <w:t xml:space="preserve"> by allowing the agent to either make it the case that there is most deontic weight </w:t>
      </w:r>
      <w:r w:rsidR="003B60E9" w:rsidRPr="000B45F2">
        <w:rPr>
          <w:bCs/>
        </w:rPr>
        <w:t>supporting</w:t>
      </w:r>
      <w:r w:rsidR="00071080" w:rsidRPr="000B45F2">
        <w:rPr>
          <w:bCs/>
        </w:rPr>
        <w:t xml:space="preserve"> </w:t>
      </w:r>
      <w:r w:rsidR="0050628B" w:rsidRPr="000B45F2">
        <w:rPr>
          <w:bCs/>
        </w:rPr>
        <w:t xml:space="preserve">lying on the couch </w:t>
      </w:r>
      <w:r w:rsidR="00201BF6" w:rsidRPr="000B45F2">
        <w:rPr>
          <w:bCs/>
        </w:rPr>
        <w:t xml:space="preserve">as opposed to </w:t>
      </w:r>
      <w:r w:rsidR="0050628B" w:rsidRPr="000B45F2">
        <w:rPr>
          <w:bCs/>
        </w:rPr>
        <w:t>exercising.</w:t>
      </w:r>
      <w:r w:rsidR="003033EC" w:rsidRPr="000B45F2">
        <w:rPr>
          <w:bCs/>
        </w:rPr>
        <w:t xml:space="preserve"> </w:t>
      </w:r>
      <w:r w:rsidR="00B0200A" w:rsidRPr="000B45F2">
        <w:rPr>
          <w:bCs/>
        </w:rPr>
        <w:t xml:space="preserve">Likewise, the agent could have made </w:t>
      </w:r>
      <w:r w:rsidR="0050628B" w:rsidRPr="000B45F2">
        <w:rPr>
          <w:bCs/>
        </w:rPr>
        <w:t xml:space="preserve">exercising </w:t>
      </w:r>
      <w:r w:rsidR="00B0200A" w:rsidRPr="000B45F2">
        <w:rPr>
          <w:bCs/>
        </w:rPr>
        <w:t xml:space="preserve">obligatory by </w:t>
      </w:r>
      <w:r w:rsidR="007C3AA5">
        <w:rPr>
          <w:bCs/>
        </w:rPr>
        <w:t>shifting</w:t>
      </w:r>
      <w:r w:rsidR="00B0200A" w:rsidRPr="000B45F2">
        <w:rPr>
          <w:bCs/>
        </w:rPr>
        <w:t xml:space="preserve"> </w:t>
      </w:r>
      <w:r w:rsidR="003033EC" w:rsidRPr="000B45F2">
        <w:rPr>
          <w:bCs/>
        </w:rPr>
        <w:t>deontic weight in the opposite direction.</w:t>
      </w:r>
      <w:r w:rsidR="00797D06" w:rsidRPr="000B45F2">
        <w:rPr>
          <w:bCs/>
        </w:rPr>
        <w:t xml:space="preserve"> </w:t>
      </w:r>
    </w:p>
    <w:p w14:paraId="0AEE8026" w14:textId="21DCD66D" w:rsidR="00E62CD5" w:rsidRPr="000B45F2" w:rsidRDefault="00CF362E" w:rsidP="00880ACB">
      <w:pPr>
        <w:jc w:val="both"/>
        <w:rPr>
          <w:bCs/>
        </w:rPr>
      </w:pPr>
      <w:r w:rsidRPr="000B45F2">
        <w:rPr>
          <w:bCs/>
        </w:rPr>
        <w:t>Crucially</w:t>
      </w:r>
      <w:r w:rsidR="007B4575">
        <w:rPr>
          <w:bCs/>
        </w:rPr>
        <w:t>, the strategy</w:t>
      </w:r>
      <w:r w:rsidR="00F67F4F" w:rsidRPr="000B45F2">
        <w:rPr>
          <w:bCs/>
        </w:rPr>
        <w:t xml:space="preserve"> explains permission</w:t>
      </w:r>
      <w:r w:rsidR="00B44455" w:rsidRPr="000B45F2">
        <w:rPr>
          <w:bCs/>
        </w:rPr>
        <w:t>s</w:t>
      </w:r>
      <w:r w:rsidR="00F67F4F" w:rsidRPr="000B45F2">
        <w:rPr>
          <w:bCs/>
        </w:rPr>
        <w:t xml:space="preserve"> in terms of </w:t>
      </w:r>
      <w:r w:rsidR="00E6795A" w:rsidRPr="000B45F2">
        <w:rPr>
          <w:bCs/>
        </w:rPr>
        <w:t xml:space="preserve">(i) </w:t>
      </w:r>
      <w:r w:rsidR="00F67F4F" w:rsidRPr="000B45F2">
        <w:rPr>
          <w:bCs/>
        </w:rPr>
        <w:t>a</w:t>
      </w:r>
      <w:r w:rsidR="00EC3FB5" w:rsidRPr="000B45F2">
        <w:rPr>
          <w:bCs/>
        </w:rPr>
        <w:t xml:space="preserve"> </w:t>
      </w:r>
      <w:r w:rsidR="00F67F4F" w:rsidRPr="000B45F2">
        <w:rPr>
          <w:bCs/>
          <w:i/>
          <w:iCs/>
        </w:rPr>
        <w:t xml:space="preserve">lack of </w:t>
      </w:r>
      <w:r w:rsidR="00797D06" w:rsidRPr="000B45F2">
        <w:rPr>
          <w:bCs/>
          <w:i/>
          <w:iCs/>
        </w:rPr>
        <w:t>restrictions</w:t>
      </w:r>
      <w:r w:rsidR="00797D06" w:rsidRPr="000B45F2">
        <w:rPr>
          <w:bCs/>
        </w:rPr>
        <w:t xml:space="preserve"> on how the agent is able to </w:t>
      </w:r>
      <w:r w:rsidR="007C3AA5">
        <w:rPr>
          <w:bCs/>
        </w:rPr>
        <w:t>alter</w:t>
      </w:r>
      <w:r w:rsidR="00797D06" w:rsidRPr="000B45F2">
        <w:rPr>
          <w:bCs/>
        </w:rPr>
        <w:t xml:space="preserve"> deontic weight</w:t>
      </w:r>
      <w:r w:rsidR="00EC3FB5" w:rsidRPr="000B45F2">
        <w:rPr>
          <w:bCs/>
        </w:rPr>
        <w:t xml:space="preserve"> and</w:t>
      </w:r>
      <w:r w:rsidR="00E6795A" w:rsidRPr="000B45F2">
        <w:rPr>
          <w:bCs/>
        </w:rPr>
        <w:t xml:space="preserve"> (ii)</w:t>
      </w:r>
      <w:r w:rsidR="00EC3FB5" w:rsidRPr="000B45F2">
        <w:rPr>
          <w:bCs/>
        </w:rPr>
        <w:t xml:space="preserve"> the possibility of </w:t>
      </w:r>
      <w:r w:rsidR="007C3AA5">
        <w:rPr>
          <w:bCs/>
        </w:rPr>
        <w:t>alter</w:t>
      </w:r>
      <w:r w:rsidR="00EC3FB5" w:rsidRPr="000B45F2">
        <w:rPr>
          <w:bCs/>
        </w:rPr>
        <w:t xml:space="preserve">ing weight </w:t>
      </w:r>
      <w:r w:rsidR="00EC3FB5" w:rsidRPr="000B45F2">
        <w:rPr>
          <w:bCs/>
          <w:i/>
          <w:iCs/>
        </w:rPr>
        <w:t xml:space="preserve">so that either option </w:t>
      </w:r>
      <w:r w:rsidR="00E6795A" w:rsidRPr="000B45F2">
        <w:rPr>
          <w:bCs/>
          <w:i/>
          <w:iCs/>
        </w:rPr>
        <w:t>could be supported by the most deontic weight</w:t>
      </w:r>
      <w:r w:rsidR="00797D06" w:rsidRPr="000B45F2">
        <w:rPr>
          <w:bCs/>
        </w:rPr>
        <w:t>.</w:t>
      </w:r>
      <w:r w:rsidR="00EC3FB5" w:rsidRPr="000B45F2">
        <w:rPr>
          <w:rStyle w:val="FootnoteReference"/>
          <w:bCs/>
        </w:rPr>
        <w:footnoteReference w:id="13"/>
      </w:r>
      <w:r w:rsidR="006E56F9" w:rsidRPr="000B45F2">
        <w:rPr>
          <w:bCs/>
        </w:rPr>
        <w:t xml:space="preserve"> </w:t>
      </w:r>
      <w:r w:rsidR="004A4FD8" w:rsidRPr="000B45F2">
        <w:rPr>
          <w:bCs/>
        </w:rPr>
        <w:t>As a result, there</w:t>
      </w:r>
      <w:r w:rsidR="006E56F9" w:rsidRPr="000B45F2">
        <w:rPr>
          <w:bCs/>
        </w:rPr>
        <w:t xml:space="preserve"> is no need to posit two different types of normative support</w:t>
      </w:r>
      <w:r w:rsidR="0038221E" w:rsidRPr="000B45F2">
        <w:rPr>
          <w:bCs/>
        </w:rPr>
        <w:t xml:space="preserve"> or t</w:t>
      </w:r>
      <w:r w:rsidR="006E56F9" w:rsidRPr="000B45F2">
        <w:rPr>
          <w:bCs/>
        </w:rPr>
        <w:t>o defend satisficing</w:t>
      </w:r>
      <w:r w:rsidR="00A0743E" w:rsidRPr="000B45F2">
        <w:rPr>
          <w:bCs/>
        </w:rPr>
        <w:t xml:space="preserve"> on the basis of a variable threshold</w:t>
      </w:r>
      <w:r w:rsidR="0038221E" w:rsidRPr="000B45F2">
        <w:rPr>
          <w:bCs/>
        </w:rPr>
        <w:t>.</w:t>
      </w:r>
      <w:r w:rsidR="00E62CD5" w:rsidRPr="000B45F2">
        <w:rPr>
          <w:bCs/>
        </w:rPr>
        <w:t xml:space="preserve"> </w:t>
      </w:r>
      <w:r w:rsidR="004C6458" w:rsidRPr="000B45F2">
        <w:rPr>
          <w:bCs/>
        </w:rPr>
        <w:t>To</w:t>
      </w:r>
      <w:r w:rsidR="00BC1DDC" w:rsidRPr="000B45F2">
        <w:rPr>
          <w:bCs/>
        </w:rPr>
        <w:t xml:space="preserve"> be</w:t>
      </w:r>
      <w:r w:rsidR="004C6458" w:rsidRPr="000B45F2">
        <w:rPr>
          <w:bCs/>
        </w:rPr>
        <w:t xml:space="preserve"> clear, this</w:t>
      </w:r>
      <w:r w:rsidR="00E62CD5" w:rsidRPr="000B45F2">
        <w:rPr>
          <w:bCs/>
        </w:rPr>
        <w:t xml:space="preserve"> might not capture our </w:t>
      </w:r>
      <w:r w:rsidR="00E62CD5" w:rsidRPr="000B45F2">
        <w:rPr>
          <w:bCs/>
        </w:rPr>
        <w:lastRenderedPageBreak/>
        <w:t>initial intuition about the case (e.g.</w:t>
      </w:r>
      <w:r w:rsidR="00C66A80">
        <w:rPr>
          <w:bCs/>
        </w:rPr>
        <w:t>,</w:t>
      </w:r>
      <w:r w:rsidR="00E62CD5" w:rsidRPr="000B45F2">
        <w:rPr>
          <w:bCs/>
        </w:rPr>
        <w:t xml:space="preserve"> that both options are just </w:t>
      </w:r>
      <w:r w:rsidR="00E62CD5" w:rsidRPr="000B45F2">
        <w:rPr>
          <w:bCs/>
          <w:i/>
          <w:iCs/>
        </w:rPr>
        <w:t xml:space="preserve">outright </w:t>
      </w:r>
      <w:r w:rsidR="00E62CD5" w:rsidRPr="000B45F2">
        <w:rPr>
          <w:bCs/>
        </w:rPr>
        <w:t>permissible</w:t>
      </w:r>
      <w:r w:rsidR="005F33A7" w:rsidRPr="000B45F2">
        <w:rPr>
          <w:bCs/>
        </w:rPr>
        <w:t>)</w:t>
      </w:r>
      <w:r w:rsidR="00E20FC5" w:rsidRPr="000B45F2">
        <w:rPr>
          <w:bCs/>
        </w:rPr>
        <w:t>.</w:t>
      </w:r>
      <w:r w:rsidR="005F33A7" w:rsidRPr="000B45F2">
        <w:rPr>
          <w:bCs/>
        </w:rPr>
        <w:t xml:space="preserve"> Nonetheless, </w:t>
      </w:r>
      <w:r w:rsidR="00026293">
        <w:rPr>
          <w:bCs/>
        </w:rPr>
        <w:t xml:space="preserve">I propose that this </w:t>
      </w:r>
      <w:r w:rsidR="00E3493B">
        <w:rPr>
          <w:bCs/>
        </w:rPr>
        <w:t>might be an</w:t>
      </w:r>
      <w:r w:rsidR="000E12C8">
        <w:rPr>
          <w:bCs/>
        </w:rPr>
        <w:t xml:space="preserve"> </w:t>
      </w:r>
      <w:r w:rsidR="00026293">
        <w:rPr>
          <w:bCs/>
        </w:rPr>
        <w:t>acceptable cost</w:t>
      </w:r>
      <w:r w:rsidR="00F26DA2">
        <w:rPr>
          <w:bCs/>
        </w:rPr>
        <w:t xml:space="preserve"> given </w:t>
      </w:r>
      <w:r w:rsidR="00026293">
        <w:rPr>
          <w:bCs/>
        </w:rPr>
        <w:t xml:space="preserve">the strategy’s </w:t>
      </w:r>
      <w:r w:rsidR="00F26DA2">
        <w:rPr>
          <w:bCs/>
        </w:rPr>
        <w:t xml:space="preserve">simplicity and </w:t>
      </w:r>
      <w:r w:rsidR="00026293">
        <w:rPr>
          <w:bCs/>
        </w:rPr>
        <w:t>general applicability to</w:t>
      </w:r>
      <w:r w:rsidR="00F26DA2">
        <w:rPr>
          <w:bCs/>
        </w:rPr>
        <w:t xml:space="preserve"> other cases</w:t>
      </w:r>
      <w:r w:rsidR="00C132EF" w:rsidRPr="000B45F2">
        <w:rPr>
          <w:bCs/>
        </w:rPr>
        <w:t>.</w:t>
      </w:r>
    </w:p>
    <w:p w14:paraId="1B61A40D" w14:textId="7E4C0B33" w:rsidR="00751283" w:rsidRPr="000B45F2" w:rsidRDefault="00026293" w:rsidP="00880ACB">
      <w:pPr>
        <w:jc w:val="both"/>
        <w:rPr>
          <w:bCs/>
        </w:rPr>
      </w:pPr>
      <w:r>
        <w:rPr>
          <w:bCs/>
        </w:rPr>
        <w:t>For example, consider</w:t>
      </w:r>
      <w:r w:rsidR="008A414E" w:rsidRPr="000B45F2">
        <w:rPr>
          <w:bCs/>
        </w:rPr>
        <w:t xml:space="preserve"> </w:t>
      </w:r>
      <w:r w:rsidR="00306A53" w:rsidRPr="000B45F2">
        <w:rPr>
          <w:bCs/>
        </w:rPr>
        <w:t>My Arm</w:t>
      </w:r>
      <w:r w:rsidR="008A414E" w:rsidRPr="000B45F2">
        <w:rPr>
          <w:bCs/>
        </w:rPr>
        <w:t xml:space="preserve">. The case </w:t>
      </w:r>
      <w:r w:rsidR="00120840" w:rsidRPr="000B45F2">
        <w:rPr>
          <w:bCs/>
        </w:rPr>
        <w:t>involves</w:t>
      </w:r>
      <w:r w:rsidR="008A414E" w:rsidRPr="000B45F2">
        <w:rPr>
          <w:bCs/>
        </w:rPr>
        <w:t xml:space="preserve"> an agent-centered prerogative </w:t>
      </w:r>
      <w:r w:rsidR="00867BA6" w:rsidRPr="000B45F2">
        <w:rPr>
          <w:bCs/>
        </w:rPr>
        <w:t>(i.e.</w:t>
      </w:r>
      <w:r w:rsidR="00C66A80">
        <w:rPr>
          <w:bCs/>
        </w:rPr>
        <w:t>,</w:t>
      </w:r>
      <w:r w:rsidR="00867BA6" w:rsidRPr="000B45F2">
        <w:rPr>
          <w:bCs/>
        </w:rPr>
        <w:t xml:space="preserve"> an </w:t>
      </w:r>
      <w:r w:rsidR="008A414E" w:rsidRPr="000B45F2">
        <w:rPr>
          <w:bCs/>
        </w:rPr>
        <w:t>option</w:t>
      </w:r>
      <w:r w:rsidR="004C2707" w:rsidRPr="000B45F2">
        <w:rPr>
          <w:bCs/>
        </w:rPr>
        <w:t xml:space="preserve"> or permission</w:t>
      </w:r>
      <w:r w:rsidR="008A414E" w:rsidRPr="000B45F2">
        <w:rPr>
          <w:bCs/>
        </w:rPr>
        <w:t xml:space="preserve"> not to sacrifice one’s good for the sake </w:t>
      </w:r>
      <w:r w:rsidR="001673D1" w:rsidRPr="000B45F2">
        <w:rPr>
          <w:bCs/>
        </w:rPr>
        <w:t>of the</w:t>
      </w:r>
      <w:r w:rsidR="008A414E" w:rsidRPr="000B45F2">
        <w:rPr>
          <w:bCs/>
        </w:rPr>
        <w:t xml:space="preserve"> impartial good</w:t>
      </w:r>
      <w:r w:rsidR="00867BA6" w:rsidRPr="000B45F2">
        <w:rPr>
          <w:bCs/>
        </w:rPr>
        <w:t>)</w:t>
      </w:r>
      <w:r w:rsidR="008A414E" w:rsidRPr="000B45F2">
        <w:rPr>
          <w:bCs/>
        </w:rPr>
        <w:t>.</w:t>
      </w:r>
      <w:r w:rsidR="00153BBC" w:rsidRPr="000B45F2">
        <w:rPr>
          <w:bCs/>
        </w:rPr>
        <w:t xml:space="preserve"> If I were to sacrifice my arm</w:t>
      </w:r>
      <w:r w:rsidR="00751283" w:rsidRPr="000B45F2">
        <w:rPr>
          <w:bCs/>
        </w:rPr>
        <w:t xml:space="preserve"> to save the arms of three strangers</w:t>
      </w:r>
      <w:r w:rsidR="00153BBC" w:rsidRPr="000B45F2">
        <w:rPr>
          <w:bCs/>
        </w:rPr>
        <w:t xml:space="preserve">, </w:t>
      </w:r>
      <w:r w:rsidR="00751283" w:rsidRPr="000B45F2">
        <w:rPr>
          <w:bCs/>
        </w:rPr>
        <w:t>it</w:t>
      </w:r>
      <w:r w:rsidR="00153BBC" w:rsidRPr="000B45F2">
        <w:rPr>
          <w:bCs/>
        </w:rPr>
        <w:t xml:space="preserve"> would be supererogatory for me to do so. We can</w:t>
      </w:r>
      <w:r w:rsidR="00D81354" w:rsidRPr="000B45F2">
        <w:rPr>
          <w:bCs/>
        </w:rPr>
        <w:t xml:space="preserve"> </w:t>
      </w:r>
      <w:r w:rsidR="002E3546" w:rsidRPr="000B45F2">
        <w:rPr>
          <w:bCs/>
        </w:rPr>
        <w:t>also pump the</w:t>
      </w:r>
      <w:r w:rsidR="00D81354" w:rsidRPr="000B45F2">
        <w:rPr>
          <w:bCs/>
        </w:rPr>
        <w:t xml:space="preserve"> intuition by </w:t>
      </w:r>
      <w:r w:rsidR="006D333F" w:rsidRPr="000B45F2">
        <w:rPr>
          <w:bCs/>
        </w:rPr>
        <w:t>reducing the impartial good at stake</w:t>
      </w:r>
      <w:r w:rsidR="00153BBC" w:rsidRPr="000B45F2">
        <w:rPr>
          <w:bCs/>
        </w:rPr>
        <w:t xml:space="preserve">. For example, suppose that </w:t>
      </w:r>
      <w:r w:rsidR="003B60E9" w:rsidRPr="000B45F2">
        <w:rPr>
          <w:bCs/>
        </w:rPr>
        <w:t>the tradeoff is just</w:t>
      </w:r>
      <w:r w:rsidR="00153BBC" w:rsidRPr="000B45F2">
        <w:rPr>
          <w:bCs/>
        </w:rPr>
        <w:t xml:space="preserve"> </w:t>
      </w:r>
      <w:r w:rsidR="00751283" w:rsidRPr="000B45F2">
        <w:rPr>
          <w:bCs/>
        </w:rPr>
        <w:t xml:space="preserve">my </w:t>
      </w:r>
      <w:r w:rsidR="00153BBC" w:rsidRPr="000B45F2">
        <w:rPr>
          <w:bCs/>
        </w:rPr>
        <w:t>arm for</w:t>
      </w:r>
      <w:r w:rsidR="00751283" w:rsidRPr="000B45F2">
        <w:rPr>
          <w:bCs/>
        </w:rPr>
        <w:t xml:space="preserve"> one stranger’s</w:t>
      </w:r>
      <w:r w:rsidR="00153BBC" w:rsidRPr="000B45F2">
        <w:rPr>
          <w:bCs/>
        </w:rPr>
        <w:t xml:space="preserve"> ar</w:t>
      </w:r>
      <w:r w:rsidR="00751283" w:rsidRPr="000B45F2">
        <w:rPr>
          <w:bCs/>
        </w:rPr>
        <w:t xml:space="preserve">m. Suppose I find out that the stranger is a </w:t>
      </w:r>
      <w:r w:rsidR="003B60E9" w:rsidRPr="000B45F2">
        <w:rPr>
          <w:bCs/>
        </w:rPr>
        <w:t xml:space="preserve">great </w:t>
      </w:r>
      <w:r w:rsidR="00153BBC" w:rsidRPr="000B45F2">
        <w:rPr>
          <w:bCs/>
        </w:rPr>
        <w:t>guitarist who</w:t>
      </w:r>
      <w:r w:rsidR="003B60E9" w:rsidRPr="000B45F2">
        <w:rPr>
          <w:bCs/>
        </w:rPr>
        <w:t xml:space="preserve">se </w:t>
      </w:r>
      <w:r w:rsidR="0074436D" w:rsidRPr="000B45F2">
        <w:rPr>
          <w:bCs/>
        </w:rPr>
        <w:t>playing</w:t>
      </w:r>
      <w:r w:rsidR="003B60E9" w:rsidRPr="000B45F2">
        <w:rPr>
          <w:bCs/>
        </w:rPr>
        <w:t xml:space="preserve"> brings</w:t>
      </w:r>
      <w:r w:rsidR="0074436D" w:rsidRPr="000B45F2">
        <w:rPr>
          <w:bCs/>
        </w:rPr>
        <w:t xml:space="preserve"> far more</w:t>
      </w:r>
      <w:r w:rsidR="003B60E9" w:rsidRPr="000B45F2">
        <w:rPr>
          <w:bCs/>
        </w:rPr>
        <w:t xml:space="preserve"> pleasure t</w:t>
      </w:r>
      <w:r w:rsidR="0074436D" w:rsidRPr="000B45F2">
        <w:rPr>
          <w:bCs/>
        </w:rPr>
        <w:t xml:space="preserve">o </w:t>
      </w:r>
      <w:r w:rsidR="00E95AB3" w:rsidRPr="000B45F2">
        <w:rPr>
          <w:bCs/>
        </w:rPr>
        <w:t xml:space="preserve">others </w:t>
      </w:r>
      <w:r w:rsidR="0074436D" w:rsidRPr="000B45F2">
        <w:rPr>
          <w:bCs/>
        </w:rPr>
        <w:t>than whatever I choose to do with my arm</w:t>
      </w:r>
      <w:r w:rsidR="00153BBC" w:rsidRPr="000B45F2">
        <w:rPr>
          <w:bCs/>
        </w:rPr>
        <w:t xml:space="preserve">. </w:t>
      </w:r>
      <w:r w:rsidR="00211CD5" w:rsidRPr="000B45F2">
        <w:rPr>
          <w:bCs/>
        </w:rPr>
        <w:t>Intuitively,</w:t>
      </w:r>
      <w:r w:rsidR="00855F5E" w:rsidRPr="000B45F2">
        <w:rPr>
          <w:bCs/>
        </w:rPr>
        <w:t xml:space="preserve"> it is supererogatory for me to sacrifice my arm</w:t>
      </w:r>
      <w:r w:rsidR="00211CD5" w:rsidRPr="000B45F2">
        <w:rPr>
          <w:bCs/>
        </w:rPr>
        <w:t>.</w:t>
      </w:r>
      <w:r w:rsidR="00855F5E" w:rsidRPr="000B45F2">
        <w:rPr>
          <w:bCs/>
        </w:rPr>
        <w:t xml:space="preserve"> Yet</w:t>
      </w:r>
      <w:r w:rsidR="00211CD5" w:rsidRPr="000B45F2">
        <w:rPr>
          <w:bCs/>
        </w:rPr>
        <w:t>,</w:t>
      </w:r>
      <w:r w:rsidR="003B60E9" w:rsidRPr="000B45F2">
        <w:rPr>
          <w:bCs/>
        </w:rPr>
        <w:t xml:space="preserve"> I am also permitted to </w:t>
      </w:r>
      <w:r w:rsidR="00855F5E" w:rsidRPr="000B45F2">
        <w:rPr>
          <w:bCs/>
        </w:rPr>
        <w:t>do so</w:t>
      </w:r>
      <w:r w:rsidR="003B60E9" w:rsidRPr="000B45F2">
        <w:rPr>
          <w:bCs/>
        </w:rPr>
        <w:t>.</w:t>
      </w:r>
    </w:p>
    <w:p w14:paraId="73873774" w14:textId="46569BF0" w:rsidR="00211CD5" w:rsidRPr="000B45F2" w:rsidRDefault="007B4575" w:rsidP="00880ACB">
      <w:pPr>
        <w:jc w:val="both"/>
        <w:rPr>
          <w:bCs/>
        </w:rPr>
      </w:pPr>
      <w:r>
        <w:rPr>
          <w:bCs/>
        </w:rPr>
        <w:t>The Deontic Weight Strategy</w:t>
      </w:r>
      <w:r w:rsidR="003B60E9" w:rsidRPr="000B45F2">
        <w:rPr>
          <w:bCs/>
        </w:rPr>
        <w:t xml:space="preserve"> can</w:t>
      </w:r>
      <w:r w:rsidR="00F843EB" w:rsidRPr="000B45F2">
        <w:rPr>
          <w:bCs/>
        </w:rPr>
        <w:t xml:space="preserve"> accommodate these intuitions</w:t>
      </w:r>
      <w:r w:rsidR="00DF3C9B" w:rsidRPr="000B45F2">
        <w:rPr>
          <w:bCs/>
        </w:rPr>
        <w:t xml:space="preserve"> as follows. </w:t>
      </w:r>
      <w:r w:rsidR="00157C6A" w:rsidRPr="000B45F2">
        <w:rPr>
          <w:bCs/>
        </w:rPr>
        <w:t xml:space="preserve">If </w:t>
      </w:r>
      <w:r w:rsidR="00751283" w:rsidRPr="000B45F2">
        <w:rPr>
          <w:bCs/>
        </w:rPr>
        <w:t xml:space="preserve">I am allowed to </w:t>
      </w:r>
      <w:r w:rsidR="007C3AA5">
        <w:rPr>
          <w:bCs/>
        </w:rPr>
        <w:t>shift</w:t>
      </w:r>
      <w:r w:rsidR="00751283" w:rsidRPr="000B45F2">
        <w:rPr>
          <w:bCs/>
        </w:rPr>
        <w:t xml:space="preserve"> deontic weight towards preserving my own arm</w:t>
      </w:r>
      <w:r w:rsidR="00157C6A" w:rsidRPr="000B45F2">
        <w:rPr>
          <w:bCs/>
        </w:rPr>
        <w:t>, I can make it the case that there is most deontic weight to do so. On the other hand, if I</w:t>
      </w:r>
      <w:r w:rsidR="00812088" w:rsidRPr="000B45F2">
        <w:rPr>
          <w:bCs/>
        </w:rPr>
        <w:t xml:space="preserve"> refrain from </w:t>
      </w:r>
      <w:r w:rsidR="00D46CE8">
        <w:rPr>
          <w:bCs/>
        </w:rPr>
        <w:t>asserting</w:t>
      </w:r>
      <w:r w:rsidR="00812088" w:rsidRPr="000B45F2">
        <w:rPr>
          <w:bCs/>
        </w:rPr>
        <w:t xml:space="preserve"> any</w:t>
      </w:r>
      <w:r w:rsidR="00D46CE8">
        <w:rPr>
          <w:bCs/>
        </w:rPr>
        <w:t xml:space="preserve"> additional</w:t>
      </w:r>
      <w:r w:rsidR="00812088" w:rsidRPr="000B45F2">
        <w:rPr>
          <w:bCs/>
        </w:rPr>
        <w:t xml:space="preserve"> deontic weight and simply</w:t>
      </w:r>
      <w:r w:rsidR="00157C6A" w:rsidRPr="000B45F2">
        <w:rPr>
          <w:bCs/>
        </w:rPr>
        <w:t xml:space="preserve"> let </w:t>
      </w:r>
      <w:r w:rsidR="00751283" w:rsidRPr="000B45F2">
        <w:rPr>
          <w:bCs/>
        </w:rPr>
        <w:t>the existing deontic weight of saving three arms override the deontic weight of preserving my own</w:t>
      </w:r>
      <w:r w:rsidR="00157C6A" w:rsidRPr="000B45F2">
        <w:rPr>
          <w:bCs/>
        </w:rPr>
        <w:t>, then there will be most deontic weight to sacrifice my arm instead.</w:t>
      </w:r>
      <w:r w:rsidR="00786883" w:rsidRPr="000B45F2">
        <w:rPr>
          <w:bCs/>
        </w:rPr>
        <w:t xml:space="preserve"> </w:t>
      </w:r>
      <w:r w:rsidR="00327D52" w:rsidRPr="000B45F2">
        <w:rPr>
          <w:bCs/>
        </w:rPr>
        <w:t xml:space="preserve">What I ought to do will again depend on how I </w:t>
      </w:r>
      <w:r w:rsidR="007C3AA5">
        <w:rPr>
          <w:bCs/>
        </w:rPr>
        <w:t>alter</w:t>
      </w:r>
      <w:r w:rsidR="00327D52" w:rsidRPr="000B45F2">
        <w:rPr>
          <w:bCs/>
        </w:rPr>
        <w:t xml:space="preserve"> deontic weight in this case</w:t>
      </w:r>
      <w:r w:rsidR="00F2018C" w:rsidRPr="000B45F2">
        <w:rPr>
          <w:bCs/>
        </w:rPr>
        <w:t>.</w:t>
      </w:r>
      <w:r w:rsidR="00327D52" w:rsidRPr="000B45F2">
        <w:rPr>
          <w:bCs/>
        </w:rPr>
        <w:t xml:space="preserve"> </w:t>
      </w:r>
      <w:r w:rsidR="00C23598" w:rsidRPr="000B45F2">
        <w:rPr>
          <w:bCs/>
        </w:rPr>
        <w:t xml:space="preserve">Furthermore, </w:t>
      </w:r>
      <w:r w:rsidR="00F2018C" w:rsidRPr="000B45F2">
        <w:rPr>
          <w:bCs/>
        </w:rPr>
        <w:t xml:space="preserve">a defender of </w:t>
      </w:r>
      <w:r>
        <w:rPr>
          <w:bCs/>
        </w:rPr>
        <w:t>the strategy</w:t>
      </w:r>
      <w:r w:rsidR="00F2018C" w:rsidRPr="000B45F2">
        <w:rPr>
          <w:bCs/>
        </w:rPr>
        <w:t xml:space="preserve"> </w:t>
      </w:r>
      <w:r w:rsidR="00FC2B8A" w:rsidRPr="000B45F2">
        <w:rPr>
          <w:bCs/>
        </w:rPr>
        <w:t xml:space="preserve">can also allow </w:t>
      </w:r>
      <w:r w:rsidR="00F2018C" w:rsidRPr="000B45F2">
        <w:rPr>
          <w:bCs/>
        </w:rPr>
        <w:t xml:space="preserve">that I </w:t>
      </w:r>
      <w:r w:rsidR="007C3AA5">
        <w:rPr>
          <w:bCs/>
        </w:rPr>
        <w:t xml:space="preserve">shift </w:t>
      </w:r>
      <w:r w:rsidR="00F2018C" w:rsidRPr="000B45F2">
        <w:rPr>
          <w:bCs/>
        </w:rPr>
        <w:t xml:space="preserve">deontic weight towards benefiting someone else and sacrificing my own interests </w:t>
      </w:r>
      <w:r w:rsidR="00F2018C" w:rsidRPr="000B45F2">
        <w:rPr>
          <w:bCs/>
          <w:i/>
          <w:iCs/>
        </w:rPr>
        <w:t>even though doing so would produce less overall good</w:t>
      </w:r>
      <w:r w:rsidR="005D6295" w:rsidRPr="000B45F2">
        <w:rPr>
          <w:bCs/>
        </w:rPr>
        <w:t xml:space="preserve"> (e.g.</w:t>
      </w:r>
      <w:r w:rsidR="00C66A80">
        <w:rPr>
          <w:bCs/>
        </w:rPr>
        <w:t>,</w:t>
      </w:r>
      <w:r w:rsidR="005D6295" w:rsidRPr="000B45F2">
        <w:rPr>
          <w:bCs/>
        </w:rPr>
        <w:t xml:space="preserve"> suppose I was the great guitarist instead).</w:t>
      </w:r>
      <w:r w:rsidR="005F33A7" w:rsidRPr="000B45F2">
        <w:rPr>
          <w:rStyle w:val="FootnoteReference"/>
          <w:bCs/>
        </w:rPr>
        <w:footnoteReference w:id="14"/>
      </w:r>
    </w:p>
    <w:p w14:paraId="1A81BF6D" w14:textId="3BBA2540" w:rsidR="00D328C5" w:rsidRPr="000B45F2" w:rsidRDefault="00A55CDA" w:rsidP="00880ACB">
      <w:pPr>
        <w:jc w:val="both"/>
        <w:rPr>
          <w:bCs/>
        </w:rPr>
      </w:pPr>
      <w:r w:rsidRPr="000B45F2">
        <w:rPr>
          <w:bCs/>
        </w:rPr>
        <w:t>That said,</w:t>
      </w:r>
      <w:r w:rsidR="006072E6" w:rsidRPr="000B45F2">
        <w:rPr>
          <w:bCs/>
        </w:rPr>
        <w:t xml:space="preserve"> </w:t>
      </w:r>
      <w:r w:rsidR="007255F6">
        <w:rPr>
          <w:bCs/>
        </w:rPr>
        <w:t xml:space="preserve">a proponent of </w:t>
      </w:r>
      <w:r w:rsidR="007B4575">
        <w:rPr>
          <w:bCs/>
        </w:rPr>
        <w:t xml:space="preserve">the strategy </w:t>
      </w:r>
      <w:r w:rsidR="007255F6">
        <w:rPr>
          <w:bCs/>
        </w:rPr>
        <w:t xml:space="preserve">can and should accept that </w:t>
      </w:r>
      <w:r w:rsidRPr="000B45F2">
        <w:rPr>
          <w:bCs/>
        </w:rPr>
        <w:t xml:space="preserve">there are limits to how much deontic weight </w:t>
      </w:r>
      <w:r w:rsidR="007255F6">
        <w:rPr>
          <w:bCs/>
        </w:rPr>
        <w:t xml:space="preserve">one </w:t>
      </w:r>
      <w:r w:rsidRPr="000B45F2">
        <w:rPr>
          <w:bCs/>
        </w:rPr>
        <w:t xml:space="preserve">can add or subtract </w:t>
      </w:r>
      <w:r w:rsidR="007255F6">
        <w:rPr>
          <w:bCs/>
        </w:rPr>
        <w:t>for any</w:t>
      </w:r>
      <w:r w:rsidRPr="000B45F2">
        <w:rPr>
          <w:bCs/>
        </w:rPr>
        <w:t xml:space="preserve"> given action</w:t>
      </w:r>
      <w:r w:rsidR="004E032C" w:rsidRPr="000B45F2">
        <w:rPr>
          <w:bCs/>
        </w:rPr>
        <w:t>.</w:t>
      </w:r>
      <w:r w:rsidRPr="000B45F2">
        <w:rPr>
          <w:bCs/>
        </w:rPr>
        <w:t xml:space="preserve"> To see why,</w:t>
      </w:r>
      <w:r w:rsidR="004E032C" w:rsidRPr="000B45F2">
        <w:rPr>
          <w:bCs/>
        </w:rPr>
        <w:t xml:space="preserve"> </w:t>
      </w:r>
      <w:r w:rsidRPr="000B45F2">
        <w:rPr>
          <w:bCs/>
        </w:rPr>
        <w:t>consider a modification of</w:t>
      </w:r>
      <w:r w:rsidR="00FE7009" w:rsidRPr="000B45F2">
        <w:rPr>
          <w:bCs/>
        </w:rPr>
        <w:t xml:space="preserve"> </w:t>
      </w:r>
      <w:r w:rsidR="00306A53" w:rsidRPr="000B45F2">
        <w:rPr>
          <w:bCs/>
        </w:rPr>
        <w:t>My Arm</w:t>
      </w:r>
      <w:r w:rsidR="00FE7009" w:rsidRPr="000B45F2">
        <w:rPr>
          <w:bCs/>
        </w:rPr>
        <w:t xml:space="preserve"> </w:t>
      </w:r>
      <w:r w:rsidR="0041045F" w:rsidRPr="000B45F2">
        <w:rPr>
          <w:bCs/>
        </w:rPr>
        <w:t>by increasing the impartial good at stake so that it can no longer seem permissible to preserve one’s arm</w:t>
      </w:r>
      <w:r w:rsidR="00FE7009" w:rsidRPr="000B45F2">
        <w:rPr>
          <w:bCs/>
        </w:rPr>
        <w:t xml:space="preserve">. </w:t>
      </w:r>
      <w:r w:rsidR="0087204E" w:rsidRPr="000B45F2">
        <w:rPr>
          <w:bCs/>
        </w:rPr>
        <w:t>S</w:t>
      </w:r>
      <w:r w:rsidR="00D328C5" w:rsidRPr="000B45F2">
        <w:rPr>
          <w:bCs/>
        </w:rPr>
        <w:t>uppose the sacrifice of my ar</w:t>
      </w:r>
      <w:r w:rsidR="00E17AC1" w:rsidRPr="000B45F2">
        <w:rPr>
          <w:bCs/>
        </w:rPr>
        <w:t xml:space="preserve">m </w:t>
      </w:r>
      <w:r w:rsidR="0087204E" w:rsidRPr="000B45F2">
        <w:rPr>
          <w:bCs/>
        </w:rPr>
        <w:t>is required for the</w:t>
      </w:r>
      <w:r w:rsidR="00D328C5" w:rsidRPr="000B45F2">
        <w:rPr>
          <w:bCs/>
        </w:rPr>
        <w:t xml:space="preserve"> preservation of humanity. </w:t>
      </w:r>
      <w:r w:rsidR="0028698F" w:rsidRPr="000B45F2">
        <w:rPr>
          <w:bCs/>
        </w:rPr>
        <w:t>No matter what I do</w:t>
      </w:r>
      <w:r w:rsidR="00D328C5" w:rsidRPr="000B45F2">
        <w:rPr>
          <w:bCs/>
        </w:rPr>
        <w:t>, the deontic weight supporting the sacrifice of my arm will</w:t>
      </w:r>
      <w:r w:rsidR="00E17AC1" w:rsidRPr="000B45F2">
        <w:rPr>
          <w:bCs/>
        </w:rPr>
        <w:t xml:space="preserve"> </w:t>
      </w:r>
      <w:r w:rsidR="007B66D8" w:rsidRPr="000B45F2">
        <w:rPr>
          <w:bCs/>
        </w:rPr>
        <w:t>plausibly</w:t>
      </w:r>
      <w:r w:rsidR="00D328C5" w:rsidRPr="000B45F2">
        <w:rPr>
          <w:bCs/>
        </w:rPr>
        <w:t xml:space="preserve"> outweigh preserving it.</w:t>
      </w:r>
      <w:r w:rsidR="00BA4AA7" w:rsidRPr="000B45F2">
        <w:rPr>
          <w:bCs/>
        </w:rPr>
        <w:t xml:space="preserve"> Th</w:t>
      </w:r>
      <w:r w:rsidR="00E17AC1" w:rsidRPr="000B45F2">
        <w:rPr>
          <w:bCs/>
        </w:rPr>
        <w:t>is suggests</w:t>
      </w:r>
      <w:r w:rsidR="00BA4AA7" w:rsidRPr="000B45F2">
        <w:rPr>
          <w:bCs/>
        </w:rPr>
        <w:t xml:space="preserve"> that my ability t</w:t>
      </w:r>
      <w:r w:rsidRPr="000B45F2">
        <w:rPr>
          <w:bCs/>
        </w:rPr>
        <w:t>o make it so that I ought to</w:t>
      </w:r>
      <w:r w:rsidR="00BA4AA7" w:rsidRPr="000B45F2">
        <w:rPr>
          <w:bCs/>
        </w:rPr>
        <w:t xml:space="preserve"> preserve my arm </w:t>
      </w:r>
      <w:r w:rsidRPr="000B45F2">
        <w:rPr>
          <w:bCs/>
        </w:rPr>
        <w:t>is</w:t>
      </w:r>
      <w:r w:rsidR="0028698F" w:rsidRPr="000B45F2">
        <w:rPr>
          <w:bCs/>
        </w:rPr>
        <w:t xml:space="preserve"> </w:t>
      </w:r>
      <w:r w:rsidR="00E17AC1" w:rsidRPr="000B45F2">
        <w:rPr>
          <w:bCs/>
        </w:rPr>
        <w:t>limited</w:t>
      </w:r>
      <w:r w:rsidR="00BA4AA7" w:rsidRPr="000B45F2">
        <w:rPr>
          <w:bCs/>
        </w:rPr>
        <w:t xml:space="preserve"> </w:t>
      </w:r>
      <w:r w:rsidR="00E17AC1" w:rsidRPr="000B45F2">
        <w:rPr>
          <w:bCs/>
        </w:rPr>
        <w:t>because the</w:t>
      </w:r>
      <w:r w:rsidR="00BA4AA7" w:rsidRPr="000B45F2">
        <w:rPr>
          <w:bCs/>
        </w:rPr>
        <w:t xml:space="preserve"> deontic weight I can apply</w:t>
      </w:r>
      <w:r w:rsidR="0096171F" w:rsidRPr="000B45F2">
        <w:rPr>
          <w:bCs/>
        </w:rPr>
        <w:t xml:space="preserve"> to protect my</w:t>
      </w:r>
      <w:r w:rsidRPr="000B45F2">
        <w:rPr>
          <w:bCs/>
        </w:rPr>
        <w:t xml:space="preserve"> arm</w:t>
      </w:r>
      <w:r w:rsidR="00E17AC1" w:rsidRPr="000B45F2">
        <w:rPr>
          <w:bCs/>
        </w:rPr>
        <w:t xml:space="preserve"> is </w:t>
      </w:r>
      <w:r w:rsidRPr="000B45F2">
        <w:rPr>
          <w:bCs/>
        </w:rPr>
        <w:t xml:space="preserve">itself </w:t>
      </w:r>
      <w:r w:rsidR="00E17AC1" w:rsidRPr="000B45F2">
        <w:rPr>
          <w:bCs/>
        </w:rPr>
        <w:t>limited</w:t>
      </w:r>
      <w:r w:rsidR="00BA4AA7" w:rsidRPr="000B45F2">
        <w:rPr>
          <w:bCs/>
        </w:rPr>
        <w:t xml:space="preserve">. </w:t>
      </w:r>
      <w:r w:rsidR="00E17AC1" w:rsidRPr="000B45F2">
        <w:rPr>
          <w:bCs/>
        </w:rPr>
        <w:t xml:space="preserve">To claim that </w:t>
      </w:r>
      <w:r w:rsidR="00D90257" w:rsidRPr="000B45F2">
        <w:rPr>
          <w:bCs/>
        </w:rPr>
        <w:t xml:space="preserve">it can never be the case that I ought </w:t>
      </w:r>
      <w:r w:rsidR="00BA4AA7" w:rsidRPr="000B45F2">
        <w:rPr>
          <w:bCs/>
        </w:rPr>
        <w:t>to sacrifice my arm</w:t>
      </w:r>
      <w:r w:rsidR="00E17AC1" w:rsidRPr="000B45F2">
        <w:rPr>
          <w:bCs/>
        </w:rPr>
        <w:t xml:space="preserve"> for any outcome</w:t>
      </w:r>
      <w:r w:rsidR="00F911C5" w:rsidRPr="000B45F2">
        <w:rPr>
          <w:bCs/>
        </w:rPr>
        <w:t xml:space="preserve"> given</w:t>
      </w:r>
      <w:r w:rsidR="007B4575">
        <w:rPr>
          <w:bCs/>
        </w:rPr>
        <w:t xml:space="preserve"> the </w:t>
      </w:r>
      <w:r w:rsidR="00F43069">
        <w:rPr>
          <w:bCs/>
        </w:rPr>
        <w:t>strategy</w:t>
      </w:r>
      <w:r w:rsidR="00BA4AA7" w:rsidRPr="000B45F2">
        <w:rPr>
          <w:bCs/>
        </w:rPr>
        <w:t xml:space="preserve">, </w:t>
      </w:r>
      <w:r w:rsidR="00E17AC1" w:rsidRPr="000B45F2">
        <w:rPr>
          <w:bCs/>
        </w:rPr>
        <w:t>one will have</w:t>
      </w:r>
      <w:r w:rsidR="00BA4AA7" w:rsidRPr="000B45F2">
        <w:rPr>
          <w:bCs/>
        </w:rPr>
        <w:t xml:space="preserve"> to </w:t>
      </w:r>
      <w:r w:rsidR="0087204E" w:rsidRPr="000B45F2">
        <w:rPr>
          <w:bCs/>
        </w:rPr>
        <w:t>claim</w:t>
      </w:r>
      <w:r w:rsidR="00BA4AA7" w:rsidRPr="000B45F2">
        <w:rPr>
          <w:bCs/>
        </w:rPr>
        <w:t xml:space="preserve"> that I can place infinite deontic weight on preserving my arm</w:t>
      </w:r>
      <w:r w:rsidR="00747519" w:rsidRPr="000B45F2">
        <w:rPr>
          <w:bCs/>
        </w:rPr>
        <w:t>.</w:t>
      </w:r>
      <w:r w:rsidR="0087204E" w:rsidRPr="000B45F2">
        <w:rPr>
          <w:bCs/>
        </w:rPr>
        <w:t xml:space="preserve"> </w:t>
      </w:r>
      <w:r w:rsidR="00CF2AF6">
        <w:rPr>
          <w:bCs/>
        </w:rPr>
        <w:t>This is rather implausible.</w:t>
      </w:r>
    </w:p>
    <w:p w14:paraId="0DB7D9AD" w14:textId="03A91C22" w:rsidR="00BE5E38" w:rsidRPr="000B45F2" w:rsidRDefault="00F911C5" w:rsidP="00880ACB">
      <w:pPr>
        <w:jc w:val="both"/>
        <w:rPr>
          <w:bCs/>
        </w:rPr>
      </w:pPr>
      <w:r w:rsidRPr="000B45F2">
        <w:rPr>
          <w:bCs/>
        </w:rPr>
        <w:lastRenderedPageBreak/>
        <w:t>Now consider</w:t>
      </w:r>
      <w:r w:rsidR="001074F6" w:rsidRPr="000B45F2">
        <w:rPr>
          <w:bCs/>
        </w:rPr>
        <w:t xml:space="preserve"> </w:t>
      </w:r>
      <w:r w:rsidR="00306A53" w:rsidRPr="000B45F2">
        <w:rPr>
          <w:bCs/>
        </w:rPr>
        <w:t>Your Arm</w:t>
      </w:r>
      <w:r w:rsidR="001074F6" w:rsidRPr="000B45F2">
        <w:rPr>
          <w:bCs/>
        </w:rPr>
        <w:t>.</w:t>
      </w:r>
      <w:r w:rsidR="000473FF" w:rsidRPr="000B45F2">
        <w:rPr>
          <w:bCs/>
        </w:rPr>
        <w:t xml:space="preserve"> </w:t>
      </w:r>
      <w:r w:rsidR="00B77BFD" w:rsidRPr="000B45F2">
        <w:rPr>
          <w:bCs/>
        </w:rPr>
        <w:t>This</w:t>
      </w:r>
      <w:r w:rsidR="000748DF" w:rsidRPr="000B45F2">
        <w:rPr>
          <w:bCs/>
        </w:rPr>
        <w:t xml:space="preserve"> case</w:t>
      </w:r>
      <w:r w:rsidR="00B77BFD" w:rsidRPr="000B45F2">
        <w:rPr>
          <w:bCs/>
        </w:rPr>
        <w:t xml:space="preserve"> involves </w:t>
      </w:r>
      <w:r w:rsidR="007B2330" w:rsidRPr="000B45F2">
        <w:rPr>
          <w:bCs/>
        </w:rPr>
        <w:t>a</w:t>
      </w:r>
      <w:r w:rsidR="00830BF8" w:rsidRPr="000B45F2">
        <w:rPr>
          <w:bCs/>
        </w:rPr>
        <w:t xml:space="preserve"> patient</w:t>
      </w:r>
      <w:r w:rsidR="00B77BFD" w:rsidRPr="000B45F2">
        <w:rPr>
          <w:bCs/>
        </w:rPr>
        <w:t>-centered restriction</w:t>
      </w:r>
      <w:r w:rsidR="00471477" w:rsidRPr="000B45F2">
        <w:rPr>
          <w:bCs/>
        </w:rPr>
        <w:t xml:space="preserve"> </w:t>
      </w:r>
      <w:r w:rsidR="00867BA6" w:rsidRPr="000B45F2">
        <w:rPr>
          <w:bCs/>
        </w:rPr>
        <w:t>(i.e.</w:t>
      </w:r>
      <w:r w:rsidR="00C66A80">
        <w:rPr>
          <w:bCs/>
        </w:rPr>
        <w:t>,</w:t>
      </w:r>
      <w:r w:rsidR="00B77BFD" w:rsidRPr="000B45F2">
        <w:rPr>
          <w:bCs/>
        </w:rPr>
        <w:t xml:space="preserve"> </w:t>
      </w:r>
      <w:r w:rsidR="00867BA6" w:rsidRPr="000B45F2">
        <w:rPr>
          <w:bCs/>
        </w:rPr>
        <w:t xml:space="preserve">a restriction </w:t>
      </w:r>
      <w:r w:rsidR="00E25F48" w:rsidRPr="000B45F2">
        <w:rPr>
          <w:bCs/>
        </w:rPr>
        <w:t>on</w:t>
      </w:r>
      <w:r w:rsidR="00867BA6" w:rsidRPr="000B45F2">
        <w:rPr>
          <w:bCs/>
        </w:rPr>
        <w:t xml:space="preserve"> </w:t>
      </w:r>
      <w:r w:rsidR="00B77BFD" w:rsidRPr="000B45F2">
        <w:rPr>
          <w:bCs/>
        </w:rPr>
        <w:t>impos</w:t>
      </w:r>
      <w:r w:rsidR="00867BA6" w:rsidRPr="000B45F2">
        <w:rPr>
          <w:bCs/>
        </w:rPr>
        <w:t xml:space="preserve">ing significant </w:t>
      </w:r>
      <w:r w:rsidR="00B77BFD" w:rsidRPr="000B45F2">
        <w:rPr>
          <w:bCs/>
        </w:rPr>
        <w:t xml:space="preserve">costs on others to realize some </w:t>
      </w:r>
      <w:r w:rsidR="00867BA6" w:rsidRPr="000B45F2">
        <w:rPr>
          <w:bCs/>
        </w:rPr>
        <w:t>impartial good</w:t>
      </w:r>
      <w:r w:rsidR="00E53E68" w:rsidRPr="000B45F2">
        <w:rPr>
          <w:bCs/>
        </w:rPr>
        <w:t>).</w:t>
      </w:r>
      <w:r w:rsidR="00B77BFD" w:rsidRPr="000B45F2">
        <w:rPr>
          <w:bCs/>
        </w:rPr>
        <w:t xml:space="preserve"> </w:t>
      </w:r>
      <w:r w:rsidR="00261E06" w:rsidRPr="000B45F2">
        <w:rPr>
          <w:bCs/>
        </w:rPr>
        <w:t xml:space="preserve">Plausibly, I </w:t>
      </w:r>
      <w:r w:rsidR="000473FF" w:rsidRPr="000B45F2">
        <w:rPr>
          <w:bCs/>
        </w:rPr>
        <w:t xml:space="preserve">ought not to push a button to sacrifice your arm to save the arms of three other people. </w:t>
      </w:r>
      <w:r w:rsidR="007B4575">
        <w:rPr>
          <w:bCs/>
        </w:rPr>
        <w:t>The Deontic Weight Strategy</w:t>
      </w:r>
      <w:r w:rsidR="000748DF" w:rsidRPr="000B45F2">
        <w:rPr>
          <w:bCs/>
        </w:rPr>
        <w:t xml:space="preserve"> can help</w:t>
      </w:r>
      <w:r w:rsidR="00261E06" w:rsidRPr="000B45F2">
        <w:rPr>
          <w:bCs/>
        </w:rPr>
        <w:t xml:space="preserve"> explain this restriction</w:t>
      </w:r>
      <w:r w:rsidR="000748DF" w:rsidRPr="000B45F2">
        <w:rPr>
          <w:bCs/>
        </w:rPr>
        <w:t xml:space="preserve"> if we make the further assumption that</w:t>
      </w:r>
      <w:r w:rsidR="00B77BFD" w:rsidRPr="000B45F2">
        <w:rPr>
          <w:bCs/>
        </w:rPr>
        <w:t xml:space="preserve"> we</w:t>
      </w:r>
      <w:r w:rsidR="000748DF" w:rsidRPr="000B45F2">
        <w:rPr>
          <w:bCs/>
        </w:rPr>
        <w:t xml:space="preserve"> </w:t>
      </w:r>
      <w:r w:rsidR="00B77BFD" w:rsidRPr="000B45F2">
        <w:rPr>
          <w:bCs/>
        </w:rPr>
        <w:t xml:space="preserve">recognize that </w:t>
      </w:r>
      <w:r w:rsidR="00B77BFD" w:rsidRPr="000B45F2">
        <w:rPr>
          <w:bCs/>
          <w:i/>
          <w:iCs/>
        </w:rPr>
        <w:t>others</w:t>
      </w:r>
      <w:r w:rsidR="00B77BFD" w:rsidRPr="000B45F2">
        <w:rPr>
          <w:bCs/>
        </w:rPr>
        <w:t xml:space="preserve"> can</w:t>
      </w:r>
      <w:r w:rsidR="001A0700" w:rsidRPr="000B45F2">
        <w:rPr>
          <w:bCs/>
        </w:rPr>
        <w:t xml:space="preserve"> also</w:t>
      </w:r>
      <w:r w:rsidR="00B77BFD" w:rsidRPr="000B45F2">
        <w:rPr>
          <w:bCs/>
        </w:rPr>
        <w:t xml:space="preserve"> place </w:t>
      </w:r>
      <w:r w:rsidR="000748DF" w:rsidRPr="000B45F2">
        <w:rPr>
          <w:bCs/>
        </w:rPr>
        <w:t xml:space="preserve">deontic </w:t>
      </w:r>
      <w:r w:rsidR="005861A4" w:rsidRPr="000B45F2">
        <w:rPr>
          <w:bCs/>
        </w:rPr>
        <w:t xml:space="preserve">weight on </w:t>
      </w:r>
      <w:r w:rsidR="000748DF" w:rsidRPr="000B45F2">
        <w:rPr>
          <w:bCs/>
        </w:rPr>
        <w:t>actions that would favor</w:t>
      </w:r>
      <w:r w:rsidR="002E7BE1" w:rsidRPr="000B45F2">
        <w:rPr>
          <w:bCs/>
        </w:rPr>
        <w:t xml:space="preserve"> their own good</w:t>
      </w:r>
      <w:r w:rsidR="00E53E68" w:rsidRPr="000B45F2">
        <w:rPr>
          <w:bCs/>
        </w:rPr>
        <w:t>.</w:t>
      </w:r>
      <w:r w:rsidR="005861A4" w:rsidRPr="000B45F2">
        <w:rPr>
          <w:bCs/>
        </w:rPr>
        <w:t xml:space="preserve"> </w:t>
      </w:r>
      <w:r w:rsidR="003A7482" w:rsidRPr="000B45F2">
        <w:rPr>
          <w:bCs/>
        </w:rPr>
        <w:t xml:space="preserve">Now, suppose you object to my pushing the button. </w:t>
      </w:r>
      <w:r w:rsidR="000748DF" w:rsidRPr="000B45F2">
        <w:rPr>
          <w:bCs/>
        </w:rPr>
        <w:t xml:space="preserve">When you do so, you </w:t>
      </w:r>
      <w:r w:rsidR="003440EC" w:rsidRPr="000B45F2">
        <w:rPr>
          <w:bCs/>
        </w:rPr>
        <w:t xml:space="preserve">can </w:t>
      </w:r>
      <w:r w:rsidR="000748DF" w:rsidRPr="000B45F2">
        <w:rPr>
          <w:bCs/>
        </w:rPr>
        <w:t xml:space="preserve">thereby make it the case that </w:t>
      </w:r>
      <w:r w:rsidR="005861A4" w:rsidRPr="000B45F2">
        <w:rPr>
          <w:bCs/>
        </w:rPr>
        <w:t xml:space="preserve">the deontic weight in favor of pushing the button is now </w:t>
      </w:r>
      <w:r w:rsidR="001A0700" w:rsidRPr="000B45F2">
        <w:rPr>
          <w:bCs/>
        </w:rPr>
        <w:t>less</w:t>
      </w:r>
      <w:r w:rsidR="005861A4" w:rsidRPr="000B45F2">
        <w:rPr>
          <w:bCs/>
        </w:rPr>
        <w:t xml:space="preserve"> than the deontic weight of refraining from doing so</w:t>
      </w:r>
      <w:r w:rsidR="000748DF" w:rsidRPr="000B45F2">
        <w:rPr>
          <w:bCs/>
        </w:rPr>
        <w:t>.</w:t>
      </w:r>
      <w:r w:rsidR="003A7482" w:rsidRPr="000B45F2">
        <w:rPr>
          <w:bCs/>
        </w:rPr>
        <w:t xml:space="preserve"> </w:t>
      </w:r>
      <w:r w:rsidR="00CB13DF" w:rsidRPr="000B45F2">
        <w:rPr>
          <w:bCs/>
        </w:rPr>
        <w:t>Acknowledging</w:t>
      </w:r>
      <w:r w:rsidR="000748DF" w:rsidRPr="000B45F2">
        <w:rPr>
          <w:bCs/>
        </w:rPr>
        <w:t xml:space="preserve"> </w:t>
      </w:r>
      <w:r w:rsidR="00A67FA4" w:rsidRPr="000B45F2">
        <w:rPr>
          <w:bCs/>
        </w:rPr>
        <w:t xml:space="preserve">this </w:t>
      </w:r>
      <w:r w:rsidR="007C3AA5">
        <w:rPr>
          <w:bCs/>
        </w:rPr>
        <w:t>shift</w:t>
      </w:r>
      <w:r w:rsidR="00A67FA4" w:rsidRPr="000B45F2">
        <w:rPr>
          <w:bCs/>
        </w:rPr>
        <w:t xml:space="preserve"> in deontic weight</w:t>
      </w:r>
      <w:r w:rsidR="000748DF" w:rsidRPr="000B45F2">
        <w:rPr>
          <w:bCs/>
        </w:rPr>
        <w:t xml:space="preserve">, </w:t>
      </w:r>
      <w:r w:rsidR="003A7482" w:rsidRPr="000B45F2">
        <w:rPr>
          <w:bCs/>
        </w:rPr>
        <w:t xml:space="preserve">I </w:t>
      </w:r>
      <w:r w:rsidR="00A67FA4" w:rsidRPr="000B45F2">
        <w:rPr>
          <w:bCs/>
        </w:rPr>
        <w:t xml:space="preserve">now recognize that I </w:t>
      </w:r>
      <w:r w:rsidR="003440EC" w:rsidRPr="000B45F2">
        <w:rPr>
          <w:bCs/>
        </w:rPr>
        <w:t>ought not to</w:t>
      </w:r>
      <w:r w:rsidR="003A7482" w:rsidRPr="000B45F2">
        <w:rPr>
          <w:bCs/>
        </w:rPr>
        <w:t xml:space="preserve"> press </w:t>
      </w:r>
      <w:r w:rsidR="00A67FA4" w:rsidRPr="000B45F2">
        <w:rPr>
          <w:bCs/>
        </w:rPr>
        <w:t>the button</w:t>
      </w:r>
      <w:r w:rsidR="003A7482" w:rsidRPr="000B45F2">
        <w:rPr>
          <w:bCs/>
        </w:rPr>
        <w:t xml:space="preserve">. However, if you consent to my pushing the button and refrain from </w:t>
      </w:r>
      <w:r w:rsidR="007C3AA5">
        <w:rPr>
          <w:bCs/>
        </w:rPr>
        <w:t>shifting</w:t>
      </w:r>
      <w:r w:rsidR="003A7482" w:rsidRPr="000B45F2">
        <w:rPr>
          <w:bCs/>
        </w:rPr>
        <w:t xml:space="preserve"> deontic weight in favor of preserving your arm, then the deontic weight of pushing the button will</w:t>
      </w:r>
      <w:r w:rsidR="007E625F" w:rsidRPr="000B45F2">
        <w:rPr>
          <w:bCs/>
        </w:rPr>
        <w:t xml:space="preserve"> plausibly </w:t>
      </w:r>
      <w:r w:rsidR="003A7482" w:rsidRPr="000B45F2">
        <w:rPr>
          <w:bCs/>
        </w:rPr>
        <w:t>be weightier than not doing so. In that case, I ought to</w:t>
      </w:r>
      <w:r w:rsidR="00FB0645" w:rsidRPr="000B45F2">
        <w:rPr>
          <w:bCs/>
        </w:rPr>
        <w:t xml:space="preserve"> promote the impartial good and</w:t>
      </w:r>
      <w:r w:rsidR="003A7482" w:rsidRPr="000B45F2">
        <w:rPr>
          <w:bCs/>
        </w:rPr>
        <w:t xml:space="preserve"> push the button. </w:t>
      </w:r>
    </w:p>
    <w:p w14:paraId="1F02D389" w14:textId="7642A09E" w:rsidR="00D434BB" w:rsidRPr="000B45F2" w:rsidRDefault="001773EF" w:rsidP="00880ACB">
      <w:pPr>
        <w:jc w:val="both"/>
        <w:rPr>
          <w:bCs/>
        </w:rPr>
      </w:pPr>
      <w:r>
        <w:rPr>
          <w:bCs/>
        </w:rPr>
        <w:t xml:space="preserve">Having </w:t>
      </w:r>
      <w:r w:rsidR="000817B6" w:rsidRPr="000B45F2">
        <w:rPr>
          <w:bCs/>
        </w:rPr>
        <w:t xml:space="preserve">illustrated the deontic weight strategy </w:t>
      </w:r>
      <w:r>
        <w:rPr>
          <w:bCs/>
        </w:rPr>
        <w:t xml:space="preserve">in </w:t>
      </w:r>
      <w:r w:rsidR="00366282">
        <w:rPr>
          <w:bCs/>
        </w:rPr>
        <w:t>a fully general way</w:t>
      </w:r>
      <w:r>
        <w:rPr>
          <w:bCs/>
        </w:rPr>
        <w:t>,</w:t>
      </w:r>
      <w:r w:rsidR="00D434BB" w:rsidRPr="000B45F2">
        <w:rPr>
          <w:bCs/>
        </w:rPr>
        <w:t xml:space="preserve"> </w:t>
      </w:r>
      <w:r w:rsidR="000A007E" w:rsidRPr="000B45F2">
        <w:rPr>
          <w:bCs/>
        </w:rPr>
        <w:t>we</w:t>
      </w:r>
      <w:r w:rsidR="00D434BB" w:rsidRPr="000B45F2">
        <w:rPr>
          <w:bCs/>
        </w:rPr>
        <w:t xml:space="preserve"> have </w:t>
      </w:r>
      <w:r w:rsidR="000A007E" w:rsidRPr="000B45F2">
        <w:rPr>
          <w:bCs/>
        </w:rPr>
        <w:t>yet to say anything</w:t>
      </w:r>
      <w:r w:rsidR="00D434BB" w:rsidRPr="000B45F2">
        <w:rPr>
          <w:bCs/>
        </w:rPr>
        <w:t xml:space="preserve"> about what actually </w:t>
      </w:r>
      <w:r w:rsidR="00D434BB" w:rsidRPr="00E0283A">
        <w:rPr>
          <w:bCs/>
          <w:i/>
          <w:iCs/>
        </w:rPr>
        <w:t>grounds</w:t>
      </w:r>
      <w:r w:rsidR="00D434BB" w:rsidRPr="000B45F2">
        <w:rPr>
          <w:bCs/>
        </w:rPr>
        <w:t xml:space="preserve"> our</w:t>
      </w:r>
      <w:r w:rsidR="003374D1" w:rsidRPr="000B45F2">
        <w:rPr>
          <w:bCs/>
        </w:rPr>
        <w:t xml:space="preserve"> supposed</w:t>
      </w:r>
      <w:r w:rsidR="00D434BB" w:rsidRPr="000B45F2">
        <w:rPr>
          <w:bCs/>
        </w:rPr>
        <w:t xml:space="preserve"> ability to </w:t>
      </w:r>
      <w:r w:rsidR="007C3AA5">
        <w:rPr>
          <w:bCs/>
        </w:rPr>
        <w:t>alter</w:t>
      </w:r>
      <w:r w:rsidR="00D434BB" w:rsidRPr="000B45F2">
        <w:rPr>
          <w:bCs/>
        </w:rPr>
        <w:t xml:space="preserve"> deontic weight. </w:t>
      </w:r>
      <w:r w:rsidR="00723FCA">
        <w:rPr>
          <w:bCs/>
        </w:rPr>
        <w:t xml:space="preserve">Let us consider some </w:t>
      </w:r>
      <w:r w:rsidR="00DF7500">
        <w:rPr>
          <w:bCs/>
        </w:rPr>
        <w:t xml:space="preserve">candidate </w:t>
      </w:r>
      <w:r w:rsidR="000817B6" w:rsidRPr="000B45F2">
        <w:rPr>
          <w:bCs/>
        </w:rPr>
        <w:t>grounds.</w:t>
      </w:r>
    </w:p>
    <w:p w14:paraId="7A32DED5" w14:textId="40522E05" w:rsidR="001534E4" w:rsidRPr="00FB2F01" w:rsidRDefault="002E7EAF" w:rsidP="00880ACB">
      <w:pPr>
        <w:pStyle w:val="Roeber-HeadingA"/>
        <w:jc w:val="both"/>
      </w:pPr>
      <w:r w:rsidRPr="00FB2F01">
        <w:t>3</w:t>
      </w:r>
      <w:r w:rsidR="001534E4" w:rsidRPr="00FB2F01">
        <w:t xml:space="preserve">.  </w:t>
      </w:r>
      <w:r w:rsidR="00A83269">
        <w:t xml:space="preserve">Candidate </w:t>
      </w:r>
      <w:r w:rsidR="001534E4" w:rsidRPr="00FB2F01">
        <w:t>Grounds</w:t>
      </w:r>
    </w:p>
    <w:p w14:paraId="0CB351B9" w14:textId="7B5F00E2" w:rsidR="00DC4177" w:rsidRPr="000B45F2" w:rsidRDefault="000817B6" w:rsidP="00880ACB">
      <w:pPr>
        <w:jc w:val="both"/>
        <w:rPr>
          <w:bCs/>
        </w:rPr>
      </w:pPr>
      <w:r w:rsidRPr="000B45F2">
        <w:rPr>
          <w:bCs/>
        </w:rPr>
        <w:t>To organize our discussion of grounds,</w:t>
      </w:r>
      <w:r w:rsidR="00381F94" w:rsidRPr="000B45F2">
        <w:rPr>
          <w:bCs/>
        </w:rPr>
        <w:t xml:space="preserve"> </w:t>
      </w:r>
      <w:r w:rsidR="00AC1BE6" w:rsidRPr="000B45F2">
        <w:rPr>
          <w:bCs/>
        </w:rPr>
        <w:t xml:space="preserve">consider two </w:t>
      </w:r>
      <w:r w:rsidR="00381F94" w:rsidRPr="000B45F2">
        <w:rPr>
          <w:bCs/>
        </w:rPr>
        <w:t>general</w:t>
      </w:r>
      <w:r w:rsidR="00AC1BE6" w:rsidRPr="000B45F2">
        <w:rPr>
          <w:bCs/>
        </w:rPr>
        <w:t xml:space="preserve"> (though not the only)</w:t>
      </w:r>
      <w:r w:rsidR="00DC4177" w:rsidRPr="000B45F2">
        <w:rPr>
          <w:bCs/>
        </w:rPr>
        <w:t xml:space="preserve"> motivations for common</w:t>
      </w:r>
      <w:r w:rsidR="00D542C6">
        <w:rPr>
          <w:bCs/>
        </w:rPr>
        <w:t xml:space="preserve"> </w:t>
      </w:r>
      <w:r w:rsidR="00DC4177" w:rsidRPr="000B45F2">
        <w:rPr>
          <w:bCs/>
        </w:rPr>
        <w:t>sense morality</w:t>
      </w:r>
      <w:r w:rsidR="004D4D3C" w:rsidRPr="000B45F2">
        <w:rPr>
          <w:bCs/>
        </w:rPr>
        <w:t>.</w:t>
      </w:r>
      <w:r w:rsidR="00381F94" w:rsidRPr="000B45F2">
        <w:rPr>
          <w:rStyle w:val="FootnoteReference"/>
          <w:bCs/>
        </w:rPr>
        <w:footnoteReference w:id="15"/>
      </w:r>
      <w:r w:rsidR="004D4D3C" w:rsidRPr="000B45F2">
        <w:rPr>
          <w:bCs/>
        </w:rPr>
        <w:t xml:space="preserve"> First, our intuitions about common</w:t>
      </w:r>
      <w:r w:rsidR="00D542C6">
        <w:rPr>
          <w:bCs/>
        </w:rPr>
        <w:t xml:space="preserve"> </w:t>
      </w:r>
      <w:r w:rsidR="004D4D3C" w:rsidRPr="000B45F2">
        <w:rPr>
          <w:bCs/>
        </w:rPr>
        <w:t xml:space="preserve">sense morality </w:t>
      </w:r>
      <w:r w:rsidR="006457FF" w:rsidRPr="000B45F2">
        <w:rPr>
          <w:bCs/>
        </w:rPr>
        <w:t>are partly</w:t>
      </w:r>
      <w:r w:rsidR="0085596E" w:rsidRPr="000B45F2">
        <w:rPr>
          <w:bCs/>
        </w:rPr>
        <w:t xml:space="preserve"> </w:t>
      </w:r>
      <w:r w:rsidR="004D4D3C" w:rsidRPr="000B45F2">
        <w:rPr>
          <w:bCs/>
        </w:rPr>
        <w:t xml:space="preserve">motivated by the idea that </w:t>
      </w:r>
      <w:r w:rsidR="00FA15FE" w:rsidRPr="000B45F2">
        <w:rPr>
          <w:bCs/>
        </w:rPr>
        <w:t>an</w:t>
      </w:r>
      <w:r w:rsidR="005D41F1" w:rsidRPr="000B45F2">
        <w:rPr>
          <w:bCs/>
        </w:rPr>
        <w:t xml:space="preserve"> </w:t>
      </w:r>
      <w:r w:rsidR="004D4D3C" w:rsidRPr="000B45F2">
        <w:rPr>
          <w:bCs/>
        </w:rPr>
        <w:t xml:space="preserve">agent’s </w:t>
      </w:r>
      <w:r w:rsidR="00FA15FE" w:rsidRPr="000B45F2">
        <w:rPr>
          <w:bCs/>
        </w:rPr>
        <w:t>point of view</w:t>
      </w:r>
      <w:r w:rsidR="005D41F1" w:rsidRPr="000B45F2">
        <w:rPr>
          <w:bCs/>
        </w:rPr>
        <w:t xml:space="preserve"> which includes her desires, valuations, commitments, and </w:t>
      </w:r>
      <w:r w:rsidR="004D4D3C" w:rsidRPr="000B45F2">
        <w:rPr>
          <w:bCs/>
        </w:rPr>
        <w:t xml:space="preserve">special </w:t>
      </w:r>
      <w:r w:rsidR="005D41F1" w:rsidRPr="000B45F2">
        <w:rPr>
          <w:bCs/>
        </w:rPr>
        <w:t>projects</w:t>
      </w:r>
      <w:r w:rsidR="0085596E" w:rsidRPr="000B45F2">
        <w:rPr>
          <w:bCs/>
        </w:rPr>
        <w:t xml:space="preserve"> </w:t>
      </w:r>
      <w:r w:rsidR="00A31C16" w:rsidRPr="000B45F2">
        <w:rPr>
          <w:bCs/>
        </w:rPr>
        <w:t>is distinctively valuable and not reducible</w:t>
      </w:r>
      <w:r w:rsidR="00FF3AD0" w:rsidRPr="000B45F2">
        <w:rPr>
          <w:bCs/>
        </w:rPr>
        <w:t xml:space="preserve"> </w:t>
      </w:r>
      <w:r w:rsidR="00460B20" w:rsidRPr="000B45F2">
        <w:rPr>
          <w:bCs/>
        </w:rPr>
        <w:t>to the</w:t>
      </w:r>
      <w:r w:rsidR="00FF3AD0" w:rsidRPr="000B45F2">
        <w:rPr>
          <w:bCs/>
        </w:rPr>
        <w:t xml:space="preserve"> </w:t>
      </w:r>
      <w:r w:rsidR="00343D02" w:rsidRPr="000B45F2">
        <w:rPr>
          <w:bCs/>
        </w:rPr>
        <w:t>objective point of view</w:t>
      </w:r>
      <w:r w:rsidR="00FF3AD0" w:rsidRPr="000B45F2">
        <w:rPr>
          <w:bCs/>
        </w:rPr>
        <w:t xml:space="preserve"> associated with impartial morality</w:t>
      </w:r>
      <w:r w:rsidR="0085596E" w:rsidRPr="000B45F2">
        <w:rPr>
          <w:bCs/>
        </w:rPr>
        <w:t>.</w:t>
      </w:r>
      <w:r w:rsidR="00DC4177" w:rsidRPr="000B45F2">
        <w:rPr>
          <w:rStyle w:val="FootnoteReference"/>
          <w:bCs/>
        </w:rPr>
        <w:footnoteReference w:id="16"/>
      </w:r>
      <w:r w:rsidR="005D41F1" w:rsidRPr="000B45F2">
        <w:rPr>
          <w:bCs/>
        </w:rPr>
        <w:t xml:space="preserve"> </w:t>
      </w:r>
      <w:r w:rsidR="00DF67F3" w:rsidRPr="000B45F2">
        <w:rPr>
          <w:bCs/>
        </w:rPr>
        <w:t xml:space="preserve">Second, </w:t>
      </w:r>
      <w:r w:rsidR="006457FF" w:rsidRPr="000B45F2">
        <w:rPr>
          <w:bCs/>
        </w:rPr>
        <w:t>our intuitions about common</w:t>
      </w:r>
      <w:r w:rsidR="00D542C6">
        <w:rPr>
          <w:bCs/>
        </w:rPr>
        <w:t xml:space="preserve"> </w:t>
      </w:r>
      <w:r w:rsidR="006457FF" w:rsidRPr="000B45F2">
        <w:rPr>
          <w:bCs/>
        </w:rPr>
        <w:t>sense morality are partly motivated by the value of freedom</w:t>
      </w:r>
      <w:r w:rsidR="002A083D">
        <w:rPr>
          <w:bCs/>
        </w:rPr>
        <w:t xml:space="preserve"> and autonomous agency</w:t>
      </w:r>
      <w:r w:rsidR="006457FF" w:rsidRPr="000B45F2">
        <w:rPr>
          <w:bCs/>
        </w:rPr>
        <w:t xml:space="preserve">. Agents have a sphere of agency in which they can act </w:t>
      </w:r>
      <w:r w:rsidR="00DF67F3" w:rsidRPr="000B45F2">
        <w:rPr>
          <w:bCs/>
        </w:rPr>
        <w:t>in any number</w:t>
      </w:r>
      <w:r w:rsidR="00EB5678" w:rsidRPr="000B45F2">
        <w:rPr>
          <w:bCs/>
        </w:rPr>
        <w:t xml:space="preserve"> of</w:t>
      </w:r>
      <w:r w:rsidR="00DF67F3" w:rsidRPr="000B45F2">
        <w:rPr>
          <w:bCs/>
        </w:rPr>
        <w:t xml:space="preserve"> ways </w:t>
      </w:r>
      <w:r w:rsidR="006457FF" w:rsidRPr="000B45F2">
        <w:rPr>
          <w:bCs/>
        </w:rPr>
        <w:t>along with a</w:t>
      </w:r>
      <w:r w:rsidR="00DF67F3" w:rsidRPr="000B45F2">
        <w:rPr>
          <w:bCs/>
        </w:rPr>
        <w:t xml:space="preserve"> correlative claim on others not </w:t>
      </w:r>
      <w:r w:rsidR="00A716FD" w:rsidRPr="000B45F2">
        <w:rPr>
          <w:bCs/>
        </w:rPr>
        <w:t>to hinder that activity</w:t>
      </w:r>
      <w:r w:rsidR="00DF67F3" w:rsidRPr="000B45F2">
        <w:rPr>
          <w:bCs/>
        </w:rPr>
        <w:t>.</w:t>
      </w:r>
      <w:r w:rsidR="00DE6E94" w:rsidRPr="000B45F2">
        <w:rPr>
          <w:bCs/>
        </w:rPr>
        <w:t xml:space="preserve"> We will cover the first theme by considering how agents can </w:t>
      </w:r>
      <w:r w:rsidR="00DE6E94" w:rsidRPr="000B45F2">
        <w:rPr>
          <w:bCs/>
          <w:i/>
          <w:iCs/>
        </w:rPr>
        <w:t>generate</w:t>
      </w:r>
      <w:r w:rsidR="00DE6E94" w:rsidRPr="000B45F2">
        <w:rPr>
          <w:bCs/>
        </w:rPr>
        <w:t xml:space="preserve"> deontic weight. We will cover the second theme by considering how agents </w:t>
      </w:r>
      <w:r w:rsidR="007B282C" w:rsidRPr="000B45F2">
        <w:rPr>
          <w:bCs/>
        </w:rPr>
        <w:t xml:space="preserve">can </w:t>
      </w:r>
      <w:r w:rsidR="007C3AA5">
        <w:rPr>
          <w:bCs/>
        </w:rPr>
        <w:t>shift</w:t>
      </w:r>
      <w:r w:rsidR="007B282C" w:rsidRPr="000B45F2">
        <w:rPr>
          <w:bCs/>
        </w:rPr>
        <w:t xml:space="preserve"> </w:t>
      </w:r>
      <w:r w:rsidR="007B282C" w:rsidRPr="000B45F2">
        <w:rPr>
          <w:bCs/>
          <w:i/>
          <w:iCs/>
        </w:rPr>
        <w:t>existing</w:t>
      </w:r>
      <w:r w:rsidR="007B282C" w:rsidRPr="000B45F2">
        <w:rPr>
          <w:bCs/>
        </w:rPr>
        <w:t xml:space="preserve"> deontic weight </w:t>
      </w:r>
      <w:r w:rsidR="002264AB" w:rsidRPr="000B45F2">
        <w:rPr>
          <w:bCs/>
        </w:rPr>
        <w:t xml:space="preserve">in the form of rights </w:t>
      </w:r>
      <w:r w:rsidR="007B282C" w:rsidRPr="000B45F2">
        <w:rPr>
          <w:bCs/>
        </w:rPr>
        <w:t>as a</w:t>
      </w:r>
      <w:r w:rsidR="00A716FD" w:rsidRPr="000B45F2">
        <w:rPr>
          <w:bCs/>
        </w:rPr>
        <w:t xml:space="preserve"> way of </w:t>
      </w:r>
      <w:r w:rsidR="003860E9" w:rsidRPr="000B45F2">
        <w:rPr>
          <w:bCs/>
        </w:rPr>
        <w:t>protect</w:t>
      </w:r>
      <w:r w:rsidR="006457FF" w:rsidRPr="000B45F2">
        <w:rPr>
          <w:bCs/>
        </w:rPr>
        <w:t>ing that</w:t>
      </w:r>
      <w:r w:rsidR="003860E9" w:rsidRPr="000B45F2">
        <w:rPr>
          <w:bCs/>
        </w:rPr>
        <w:t xml:space="preserve"> </w:t>
      </w:r>
      <w:r w:rsidR="00A716FD" w:rsidRPr="000B45F2">
        <w:rPr>
          <w:bCs/>
        </w:rPr>
        <w:t>sphere of agency.</w:t>
      </w:r>
    </w:p>
    <w:p w14:paraId="7FF63862" w14:textId="2B067CE7" w:rsidR="001534E4" w:rsidRPr="000B45F2" w:rsidRDefault="00F53665" w:rsidP="00880ACB">
      <w:pPr>
        <w:pStyle w:val="Ting-Heading2"/>
        <w:jc w:val="both"/>
        <w:rPr>
          <w:bCs/>
        </w:rPr>
      </w:pPr>
      <w:r w:rsidRPr="000B45F2">
        <w:rPr>
          <w:bCs/>
        </w:rPr>
        <w:t xml:space="preserve">3.1 </w:t>
      </w:r>
      <w:r w:rsidR="001534E4" w:rsidRPr="000B45F2">
        <w:rPr>
          <w:bCs/>
        </w:rPr>
        <w:t xml:space="preserve">Generating Deontic Weight </w:t>
      </w:r>
    </w:p>
    <w:p w14:paraId="776ED6F7" w14:textId="33745E8C" w:rsidR="00AA780E" w:rsidRPr="000B45F2" w:rsidRDefault="00AA780E" w:rsidP="00880ACB">
      <w:pPr>
        <w:pStyle w:val="Ting-Heading3"/>
        <w:jc w:val="both"/>
        <w:rPr>
          <w:bCs/>
        </w:rPr>
      </w:pPr>
      <w:r w:rsidRPr="000B45F2">
        <w:rPr>
          <w:bCs/>
        </w:rPr>
        <w:lastRenderedPageBreak/>
        <w:t xml:space="preserve">New Reasons: </w:t>
      </w:r>
      <w:r w:rsidR="001534E4" w:rsidRPr="000B45F2">
        <w:rPr>
          <w:bCs/>
        </w:rPr>
        <w:t>Atelic and Will-Based Reasons</w:t>
      </w:r>
    </w:p>
    <w:p w14:paraId="2EF728EC" w14:textId="587D8ECC" w:rsidR="00AA780E" w:rsidRPr="000B45F2" w:rsidRDefault="00AA780E" w:rsidP="00880ACB">
      <w:pPr>
        <w:jc w:val="both"/>
        <w:rPr>
          <w:bCs/>
        </w:rPr>
      </w:pPr>
      <w:r w:rsidRPr="000B45F2">
        <w:rPr>
          <w:bCs/>
        </w:rPr>
        <w:t xml:space="preserve">One way to </w:t>
      </w:r>
      <w:r w:rsidR="007C3AA5">
        <w:rPr>
          <w:bCs/>
        </w:rPr>
        <w:t>shift</w:t>
      </w:r>
      <w:r w:rsidRPr="000B45F2">
        <w:rPr>
          <w:bCs/>
        </w:rPr>
        <w:t xml:space="preserve"> deontic weight towards a particular option is to simply generate </w:t>
      </w:r>
      <w:r w:rsidR="00F0233B" w:rsidRPr="000B45F2">
        <w:rPr>
          <w:bCs/>
        </w:rPr>
        <w:t>weight that did</w:t>
      </w:r>
      <w:r w:rsidR="00C21E3B" w:rsidRPr="000B45F2">
        <w:rPr>
          <w:bCs/>
        </w:rPr>
        <w:t xml:space="preserve"> not </w:t>
      </w:r>
      <w:r w:rsidR="00F0233B" w:rsidRPr="000B45F2">
        <w:rPr>
          <w:bCs/>
        </w:rPr>
        <w:t>exist before</w:t>
      </w:r>
      <w:r w:rsidRPr="000B45F2">
        <w:rPr>
          <w:bCs/>
        </w:rPr>
        <w:t xml:space="preserve">. A number of philosophers have proposed that we can do this by creating new </w:t>
      </w:r>
      <w:r w:rsidR="009C5D03">
        <w:rPr>
          <w:bCs/>
        </w:rPr>
        <w:t>reasons</w:t>
      </w:r>
      <w:r w:rsidRPr="000B45F2">
        <w:rPr>
          <w:bCs/>
        </w:rPr>
        <w:t xml:space="preserve"> </w:t>
      </w:r>
      <w:r w:rsidR="00F0233B" w:rsidRPr="000B45F2">
        <w:rPr>
          <w:bCs/>
        </w:rPr>
        <w:t>with their</w:t>
      </w:r>
      <w:r w:rsidRPr="000B45F2">
        <w:rPr>
          <w:bCs/>
        </w:rPr>
        <w:t xml:space="preserve"> own deontic weigh</w:t>
      </w:r>
      <w:r w:rsidR="00F0233B" w:rsidRPr="000B45F2">
        <w:rPr>
          <w:bCs/>
        </w:rPr>
        <w:t>t when faced with a choice situation</w:t>
      </w:r>
      <w:r w:rsidRPr="000B45F2">
        <w:rPr>
          <w:bCs/>
        </w:rPr>
        <w:t>. We</w:t>
      </w:r>
      <w:r w:rsidR="00F0233B" w:rsidRPr="000B45F2">
        <w:rPr>
          <w:bCs/>
        </w:rPr>
        <w:t xml:space="preserve"> will</w:t>
      </w:r>
      <w:r w:rsidRPr="000B45F2">
        <w:rPr>
          <w:bCs/>
        </w:rPr>
        <w:t xml:space="preserve"> </w:t>
      </w:r>
      <w:r w:rsidR="009F448A">
        <w:rPr>
          <w:bCs/>
        </w:rPr>
        <w:t xml:space="preserve">critically examine </w:t>
      </w:r>
      <w:r w:rsidRPr="000B45F2">
        <w:rPr>
          <w:bCs/>
        </w:rPr>
        <w:t>two such strategies.</w:t>
      </w:r>
    </w:p>
    <w:p w14:paraId="444362A7" w14:textId="1FECFA6C" w:rsidR="00707B8E" w:rsidRPr="000B45F2" w:rsidRDefault="00AA780E" w:rsidP="00880ACB">
      <w:pPr>
        <w:jc w:val="both"/>
        <w:rPr>
          <w:bCs/>
        </w:rPr>
      </w:pPr>
      <w:r w:rsidRPr="000B45F2">
        <w:rPr>
          <w:bCs/>
        </w:rPr>
        <w:t xml:space="preserve">First, </w:t>
      </w:r>
      <w:r w:rsidR="00F0233B" w:rsidRPr="000B45F2">
        <w:rPr>
          <w:bCs/>
        </w:rPr>
        <w:t xml:space="preserve">consider atelic </w:t>
      </w:r>
      <w:r w:rsidR="000E12C8">
        <w:rPr>
          <w:bCs/>
        </w:rPr>
        <w:t>reasons</w:t>
      </w:r>
      <w:r w:rsidR="00F0233B" w:rsidRPr="000B45F2">
        <w:rPr>
          <w:bCs/>
        </w:rPr>
        <w:t xml:space="preserve">. </w:t>
      </w:r>
      <w:r w:rsidR="000E12C8">
        <w:rPr>
          <w:bCs/>
        </w:rPr>
        <w:t>These reasons</w:t>
      </w:r>
      <w:r w:rsidR="00F0233B" w:rsidRPr="000B45F2">
        <w:rPr>
          <w:bCs/>
        </w:rPr>
        <w:t xml:space="preserve"> may help explain why an action is obligatory even though they do not show why doing that action would produce a valuable outcome. For example,</w:t>
      </w:r>
      <w:r w:rsidR="00707B8E" w:rsidRPr="000B45F2">
        <w:rPr>
          <w:bCs/>
        </w:rPr>
        <w:t xml:space="preserve"> Dorsey (2016</w:t>
      </w:r>
      <w:r w:rsidR="00BF38CC">
        <w:rPr>
          <w:bCs/>
        </w:rPr>
        <w:t>, 173</w:t>
      </w:r>
      <w:r w:rsidR="00707B8E" w:rsidRPr="000B45F2">
        <w:rPr>
          <w:bCs/>
        </w:rPr>
        <w:t xml:space="preserve">) </w:t>
      </w:r>
      <w:r w:rsidR="00BF38CC">
        <w:rPr>
          <w:bCs/>
        </w:rPr>
        <w:t>argues</w:t>
      </w:r>
      <w:r w:rsidR="00707B8E" w:rsidRPr="000B45F2">
        <w:rPr>
          <w:bCs/>
        </w:rPr>
        <w:t xml:space="preserve"> that</w:t>
      </w:r>
      <w:r w:rsidR="00F0233B" w:rsidRPr="000B45F2">
        <w:rPr>
          <w:bCs/>
        </w:rPr>
        <w:t xml:space="preserve"> the fact that I have promised someone that I would do something or that I</w:t>
      </w:r>
      <w:r w:rsidR="002E15FD" w:rsidRPr="000B45F2">
        <w:rPr>
          <w:bCs/>
        </w:rPr>
        <w:t xml:space="preserve"> have </w:t>
      </w:r>
      <w:r w:rsidR="00F0233B" w:rsidRPr="000B45F2">
        <w:rPr>
          <w:bCs/>
        </w:rPr>
        <w:t xml:space="preserve">committed to a particular course of action can provide me with additional deontic weight to do </w:t>
      </w:r>
      <w:r w:rsidR="00EC5784" w:rsidRPr="000B45F2">
        <w:rPr>
          <w:bCs/>
        </w:rPr>
        <w:t>it</w:t>
      </w:r>
      <w:r w:rsidR="00F0233B" w:rsidRPr="000B45F2">
        <w:rPr>
          <w:bCs/>
        </w:rPr>
        <w:t xml:space="preserve">. However, </w:t>
      </w:r>
      <w:r w:rsidR="00E14C8A" w:rsidRPr="000B45F2">
        <w:rPr>
          <w:bCs/>
        </w:rPr>
        <w:t xml:space="preserve">such promises and commitments do not </w:t>
      </w:r>
      <w:r w:rsidR="00F0233B" w:rsidRPr="000B45F2">
        <w:rPr>
          <w:bCs/>
        </w:rPr>
        <w:t xml:space="preserve">thereby make doing </w:t>
      </w:r>
      <w:r w:rsidR="00E14C8A" w:rsidRPr="000B45F2">
        <w:rPr>
          <w:bCs/>
        </w:rPr>
        <w:t>the action</w:t>
      </w:r>
      <w:r w:rsidR="00222BE9">
        <w:rPr>
          <w:bCs/>
        </w:rPr>
        <w:t xml:space="preserve"> or its outcomes</w:t>
      </w:r>
      <w:r w:rsidR="00F0233B" w:rsidRPr="000B45F2">
        <w:rPr>
          <w:bCs/>
        </w:rPr>
        <w:t xml:space="preserve"> more valuable.</w:t>
      </w:r>
      <w:r w:rsidR="00F0233B" w:rsidRPr="000B45F2">
        <w:rPr>
          <w:rStyle w:val="FootnoteReference"/>
          <w:bCs/>
        </w:rPr>
        <w:footnoteReference w:id="17"/>
      </w:r>
      <w:r w:rsidR="00F0233B" w:rsidRPr="000B45F2">
        <w:rPr>
          <w:bCs/>
        </w:rPr>
        <w:t xml:space="preserve"> </w:t>
      </w:r>
      <w:r w:rsidR="00E14C8A" w:rsidRPr="000B45F2">
        <w:rPr>
          <w:bCs/>
        </w:rPr>
        <w:t>S</w:t>
      </w:r>
      <w:r w:rsidR="002E15FD" w:rsidRPr="000B45F2">
        <w:rPr>
          <w:bCs/>
        </w:rPr>
        <w:t xml:space="preserve">uch </w:t>
      </w:r>
      <w:r w:rsidR="000E12C8">
        <w:rPr>
          <w:bCs/>
        </w:rPr>
        <w:t>reasons</w:t>
      </w:r>
      <w:r w:rsidR="002E15FD" w:rsidRPr="000B45F2">
        <w:rPr>
          <w:bCs/>
        </w:rPr>
        <w:t xml:space="preserve"> are</w:t>
      </w:r>
      <w:r w:rsidR="00E14C8A" w:rsidRPr="000B45F2">
        <w:rPr>
          <w:bCs/>
        </w:rPr>
        <w:t xml:space="preserve"> thus</w:t>
      </w:r>
      <w:r w:rsidR="002E15FD" w:rsidRPr="000B45F2">
        <w:rPr>
          <w:bCs/>
        </w:rPr>
        <w:t xml:space="preserve"> atelic but still contribute deontic weight to an explanation of what one ought to do. </w:t>
      </w:r>
      <w:r w:rsidR="001F1EC5" w:rsidRPr="000B45F2">
        <w:rPr>
          <w:bCs/>
        </w:rPr>
        <w:t xml:space="preserve">Even if one is skeptical </w:t>
      </w:r>
      <w:r w:rsidR="003914D9" w:rsidRPr="000B45F2">
        <w:rPr>
          <w:bCs/>
        </w:rPr>
        <w:t xml:space="preserve">of </w:t>
      </w:r>
      <w:r w:rsidR="00EB5678" w:rsidRPr="000B45F2">
        <w:rPr>
          <w:bCs/>
        </w:rPr>
        <w:t>this last claim</w:t>
      </w:r>
      <w:r w:rsidR="002E15FD" w:rsidRPr="000B45F2">
        <w:rPr>
          <w:bCs/>
        </w:rPr>
        <w:t xml:space="preserve">, the main point </w:t>
      </w:r>
      <w:r w:rsidR="00EB5678" w:rsidRPr="000B45F2">
        <w:rPr>
          <w:bCs/>
        </w:rPr>
        <w:t xml:space="preserve">is that these </w:t>
      </w:r>
      <w:r w:rsidR="000E12C8">
        <w:rPr>
          <w:bCs/>
        </w:rPr>
        <w:t xml:space="preserve">reasons </w:t>
      </w:r>
      <w:r w:rsidR="00EB5678" w:rsidRPr="000B45F2">
        <w:rPr>
          <w:bCs/>
        </w:rPr>
        <w:t>are</w:t>
      </w:r>
      <w:r w:rsidR="00707B8E" w:rsidRPr="000B45F2">
        <w:rPr>
          <w:bCs/>
        </w:rPr>
        <w:t xml:space="preserve"> (i) </w:t>
      </w:r>
      <w:r w:rsidR="00EC5784" w:rsidRPr="000B45F2">
        <w:rPr>
          <w:bCs/>
        </w:rPr>
        <w:t xml:space="preserve">freely </w:t>
      </w:r>
      <w:r w:rsidR="00EB5678" w:rsidRPr="000B45F2">
        <w:rPr>
          <w:bCs/>
        </w:rPr>
        <w:t>generated</w:t>
      </w:r>
      <w:r w:rsidR="00EC5784" w:rsidRPr="000B45F2">
        <w:rPr>
          <w:bCs/>
        </w:rPr>
        <w:t xml:space="preserve"> by the</w:t>
      </w:r>
      <w:r w:rsidR="00707B8E" w:rsidRPr="000B45F2">
        <w:rPr>
          <w:bCs/>
        </w:rPr>
        <w:t xml:space="preserve"> agent and (ii) </w:t>
      </w:r>
      <w:r w:rsidR="00417940" w:rsidRPr="000B45F2">
        <w:rPr>
          <w:bCs/>
        </w:rPr>
        <w:t xml:space="preserve">can </w:t>
      </w:r>
      <w:r w:rsidR="00707B8E" w:rsidRPr="000B45F2">
        <w:rPr>
          <w:bCs/>
        </w:rPr>
        <w:t>create deontic weight where none existed before.</w:t>
      </w:r>
      <w:r w:rsidR="007B2C77" w:rsidRPr="000B45F2">
        <w:rPr>
          <w:rStyle w:val="FootnoteReference"/>
          <w:bCs/>
        </w:rPr>
        <w:footnoteReference w:id="18"/>
      </w:r>
    </w:p>
    <w:p w14:paraId="0416D72E" w14:textId="0EF4D2D0" w:rsidR="002E15FD" w:rsidRPr="000B45F2" w:rsidRDefault="00E50C78" w:rsidP="00880ACB">
      <w:pPr>
        <w:jc w:val="both"/>
        <w:rPr>
          <w:bCs/>
        </w:rPr>
      </w:pPr>
      <w:r w:rsidRPr="000B45F2">
        <w:rPr>
          <w:bCs/>
        </w:rPr>
        <w:t>Granting this ability,</w:t>
      </w:r>
      <w:r w:rsidR="002E15FD" w:rsidRPr="000B45F2">
        <w:rPr>
          <w:bCs/>
        </w:rPr>
        <w:t xml:space="preserve"> can </w:t>
      </w:r>
      <w:r w:rsidRPr="000B45F2">
        <w:rPr>
          <w:bCs/>
        </w:rPr>
        <w:t>it</w:t>
      </w:r>
      <w:r w:rsidR="002E15FD" w:rsidRPr="000B45F2">
        <w:rPr>
          <w:bCs/>
        </w:rPr>
        <w:t xml:space="preserve"> </w:t>
      </w:r>
      <w:r w:rsidR="00A86C2F" w:rsidRPr="000B45F2">
        <w:rPr>
          <w:bCs/>
        </w:rPr>
        <w:t>help account for our</w:t>
      </w:r>
      <w:r w:rsidR="007156E5" w:rsidRPr="000B45F2">
        <w:rPr>
          <w:bCs/>
        </w:rPr>
        <w:t xml:space="preserve"> intuitions about common</w:t>
      </w:r>
      <w:r w:rsidR="00D542C6">
        <w:rPr>
          <w:bCs/>
        </w:rPr>
        <w:t xml:space="preserve"> </w:t>
      </w:r>
      <w:r w:rsidR="007156E5" w:rsidRPr="000B45F2">
        <w:rPr>
          <w:bCs/>
        </w:rPr>
        <w:t>sense morality</w:t>
      </w:r>
      <w:r w:rsidR="002E15FD" w:rsidRPr="000B45F2">
        <w:rPr>
          <w:bCs/>
        </w:rPr>
        <w:t xml:space="preserve">? </w:t>
      </w:r>
      <w:r w:rsidR="0016590C" w:rsidRPr="000B45F2">
        <w:rPr>
          <w:bCs/>
        </w:rPr>
        <w:t>W</w:t>
      </w:r>
      <w:r w:rsidRPr="000B45F2">
        <w:rPr>
          <w:bCs/>
        </w:rPr>
        <w:t>e</w:t>
      </w:r>
      <w:r w:rsidR="00EC5784" w:rsidRPr="000B45F2">
        <w:rPr>
          <w:bCs/>
        </w:rPr>
        <w:t xml:space="preserve"> should grant that our</w:t>
      </w:r>
      <w:r w:rsidR="00595EFE" w:rsidRPr="000B45F2">
        <w:rPr>
          <w:bCs/>
        </w:rPr>
        <w:t xml:space="preserve"> commitments and promises </w:t>
      </w:r>
      <w:r w:rsidR="00332E36" w:rsidRPr="000B45F2">
        <w:rPr>
          <w:bCs/>
        </w:rPr>
        <w:t>can have significant</w:t>
      </w:r>
      <w:r w:rsidR="00595EFE" w:rsidRPr="000B45F2">
        <w:rPr>
          <w:bCs/>
        </w:rPr>
        <w:t xml:space="preserve"> deontic weight.</w:t>
      </w:r>
      <w:r w:rsidR="00332E36" w:rsidRPr="000B45F2">
        <w:rPr>
          <w:bCs/>
        </w:rPr>
        <w:t xml:space="preserve"> Such weight</w:t>
      </w:r>
      <w:r w:rsidR="00595EFE" w:rsidRPr="000B45F2">
        <w:rPr>
          <w:bCs/>
        </w:rPr>
        <w:t xml:space="preserve"> can </w:t>
      </w:r>
      <w:r w:rsidR="000F6CA5" w:rsidRPr="000B45F2">
        <w:rPr>
          <w:bCs/>
        </w:rPr>
        <w:t>even</w:t>
      </w:r>
      <w:r w:rsidR="00595EFE" w:rsidRPr="000B45F2">
        <w:rPr>
          <w:bCs/>
        </w:rPr>
        <w:t xml:space="preserve"> outweigh explicitly moral concerns (i.e.</w:t>
      </w:r>
      <w:r w:rsidR="00C66A80">
        <w:rPr>
          <w:bCs/>
        </w:rPr>
        <w:t>,</w:t>
      </w:r>
      <w:r w:rsidR="0041444E" w:rsidRPr="000B45F2">
        <w:rPr>
          <w:bCs/>
        </w:rPr>
        <w:t xml:space="preserve"> watching </w:t>
      </w:r>
      <w:r w:rsidR="00BF38CC">
        <w:rPr>
          <w:bCs/>
        </w:rPr>
        <w:t>your favorite team finally win the championship</w:t>
      </w:r>
      <w:r w:rsidR="00B13836">
        <w:rPr>
          <w:bCs/>
        </w:rPr>
        <w:t xml:space="preserve"> as a life-long fan </w:t>
      </w:r>
      <w:r w:rsidR="00AE3AF4" w:rsidRPr="000B45F2">
        <w:rPr>
          <w:bCs/>
        </w:rPr>
        <w:t>is supported by more</w:t>
      </w:r>
      <w:r w:rsidR="0041444E" w:rsidRPr="000B45F2">
        <w:rPr>
          <w:bCs/>
        </w:rPr>
        <w:t xml:space="preserve"> deontic weight than </w:t>
      </w:r>
      <w:r w:rsidR="00595EFE" w:rsidRPr="000B45F2">
        <w:rPr>
          <w:bCs/>
        </w:rPr>
        <w:t>helping your</w:t>
      </w:r>
      <w:r w:rsidR="00E52FAF" w:rsidRPr="000B45F2">
        <w:rPr>
          <w:bCs/>
        </w:rPr>
        <w:t xml:space="preserve"> </w:t>
      </w:r>
      <w:r w:rsidR="00595EFE" w:rsidRPr="000B45F2">
        <w:rPr>
          <w:bCs/>
        </w:rPr>
        <w:t xml:space="preserve">friend </w:t>
      </w:r>
      <w:r w:rsidR="00C23CCF" w:rsidRPr="000B45F2">
        <w:rPr>
          <w:bCs/>
        </w:rPr>
        <w:t xml:space="preserve">with </w:t>
      </w:r>
      <w:r w:rsidR="007C5C52">
        <w:rPr>
          <w:bCs/>
        </w:rPr>
        <w:t xml:space="preserve">yet another </w:t>
      </w:r>
      <w:r w:rsidR="00595EFE" w:rsidRPr="000B45F2">
        <w:rPr>
          <w:bCs/>
        </w:rPr>
        <w:t xml:space="preserve">minor </w:t>
      </w:r>
      <w:r w:rsidR="00E52FAF" w:rsidRPr="000B45F2">
        <w:rPr>
          <w:bCs/>
        </w:rPr>
        <w:t xml:space="preserve">weekend </w:t>
      </w:r>
      <w:r w:rsidR="00595EFE" w:rsidRPr="000B45F2">
        <w:rPr>
          <w:bCs/>
        </w:rPr>
        <w:t>home improvement project). Yet, it</w:t>
      </w:r>
      <w:r w:rsidR="001242D6" w:rsidRPr="000B45F2">
        <w:rPr>
          <w:bCs/>
        </w:rPr>
        <w:t xml:space="preserve"> is</w:t>
      </w:r>
      <w:r w:rsidR="00595EFE" w:rsidRPr="000B45F2">
        <w:rPr>
          <w:bCs/>
        </w:rPr>
        <w:t xml:space="preserve"> </w:t>
      </w:r>
      <w:r w:rsidR="007156E5" w:rsidRPr="000B45F2">
        <w:rPr>
          <w:bCs/>
        </w:rPr>
        <w:t xml:space="preserve">unclear how atelic </w:t>
      </w:r>
      <w:r w:rsidR="009B0078">
        <w:rPr>
          <w:bCs/>
        </w:rPr>
        <w:t>reasons</w:t>
      </w:r>
      <w:r w:rsidR="007156E5" w:rsidRPr="000B45F2">
        <w:rPr>
          <w:bCs/>
        </w:rPr>
        <w:t xml:space="preserve"> can be employed to justify Exercise or Couch or other case</w:t>
      </w:r>
      <w:r w:rsidR="009A6827" w:rsidRPr="000B45F2">
        <w:rPr>
          <w:bCs/>
        </w:rPr>
        <w:t>s</w:t>
      </w:r>
      <w:r w:rsidR="007156E5" w:rsidRPr="000B45F2">
        <w:rPr>
          <w:bCs/>
        </w:rPr>
        <w:t xml:space="preserve"> of prudence</w:t>
      </w:r>
      <w:r w:rsidR="009A6827" w:rsidRPr="000B45F2">
        <w:rPr>
          <w:bCs/>
        </w:rPr>
        <w:t xml:space="preserve"> generally</w:t>
      </w:r>
      <w:r w:rsidR="007156E5" w:rsidRPr="000B45F2">
        <w:rPr>
          <w:bCs/>
        </w:rPr>
        <w:t xml:space="preserve">. In Exercise or Couch, </w:t>
      </w:r>
      <w:r w:rsidR="00A86E57">
        <w:rPr>
          <w:bCs/>
        </w:rPr>
        <w:t xml:space="preserve">let us </w:t>
      </w:r>
      <w:r w:rsidR="0059683E" w:rsidRPr="000B45F2">
        <w:rPr>
          <w:bCs/>
        </w:rPr>
        <w:t>grant that</w:t>
      </w:r>
      <w:r w:rsidR="007156E5" w:rsidRPr="000B45F2">
        <w:rPr>
          <w:bCs/>
        </w:rPr>
        <w:t xml:space="preserve"> regular exercis</w:t>
      </w:r>
      <w:r w:rsidR="00680052" w:rsidRPr="000B45F2">
        <w:rPr>
          <w:bCs/>
        </w:rPr>
        <w:t>e</w:t>
      </w:r>
      <w:r w:rsidR="007156E5" w:rsidRPr="000B45F2">
        <w:rPr>
          <w:bCs/>
        </w:rPr>
        <w:t xml:space="preserve"> is the better option. </w:t>
      </w:r>
      <w:r w:rsidR="0059683E" w:rsidRPr="000B45F2">
        <w:rPr>
          <w:bCs/>
        </w:rPr>
        <w:t xml:space="preserve">Even if we were to somehow make a promise to someone or commit ourselves to staying on our couch rather than exercising, the deontic weight of such </w:t>
      </w:r>
      <w:r w:rsidR="009B0078">
        <w:rPr>
          <w:bCs/>
        </w:rPr>
        <w:t xml:space="preserve">reasons </w:t>
      </w:r>
      <w:r w:rsidR="000F6CA5" w:rsidRPr="000B45F2">
        <w:rPr>
          <w:bCs/>
        </w:rPr>
        <w:t>is</w:t>
      </w:r>
      <w:r w:rsidR="0059683E" w:rsidRPr="000B45F2">
        <w:rPr>
          <w:bCs/>
        </w:rPr>
        <w:t xml:space="preserve"> relatively weak.</w:t>
      </w:r>
      <w:r w:rsidR="009210D4" w:rsidRPr="000B45F2">
        <w:rPr>
          <w:bCs/>
        </w:rPr>
        <w:t xml:space="preserve"> </w:t>
      </w:r>
      <w:r w:rsidR="0059683E" w:rsidRPr="000B45F2">
        <w:rPr>
          <w:bCs/>
        </w:rPr>
        <w:t xml:space="preserve">This suggests that even if atelic </w:t>
      </w:r>
      <w:r w:rsidR="007E45E5">
        <w:rPr>
          <w:bCs/>
        </w:rPr>
        <w:t>reasons</w:t>
      </w:r>
      <w:r w:rsidR="0059683E" w:rsidRPr="000B45F2">
        <w:rPr>
          <w:bCs/>
        </w:rPr>
        <w:t xml:space="preserve"> have deontic weight</w:t>
      </w:r>
      <w:r w:rsidR="00F27415" w:rsidRPr="000B45F2">
        <w:rPr>
          <w:bCs/>
        </w:rPr>
        <w:t xml:space="preserve"> of their own</w:t>
      </w:r>
      <w:r w:rsidR="0059683E" w:rsidRPr="000B45F2">
        <w:rPr>
          <w:bCs/>
        </w:rPr>
        <w:t xml:space="preserve">, </w:t>
      </w:r>
      <w:r w:rsidR="0017445A" w:rsidRPr="000B45F2">
        <w:rPr>
          <w:bCs/>
        </w:rPr>
        <w:t>any such</w:t>
      </w:r>
      <w:r w:rsidR="00F27415" w:rsidRPr="000B45F2">
        <w:rPr>
          <w:bCs/>
        </w:rPr>
        <w:t xml:space="preserve"> deontic weight may </w:t>
      </w:r>
      <w:r w:rsidR="0017445A" w:rsidRPr="000B45F2">
        <w:rPr>
          <w:bCs/>
        </w:rPr>
        <w:t>importantly</w:t>
      </w:r>
      <w:r w:rsidR="0059683E" w:rsidRPr="000B45F2">
        <w:rPr>
          <w:bCs/>
        </w:rPr>
        <w:t xml:space="preserve"> depend on </w:t>
      </w:r>
      <w:r w:rsidR="00F27415" w:rsidRPr="000B45F2">
        <w:rPr>
          <w:bCs/>
        </w:rPr>
        <w:t xml:space="preserve">whether </w:t>
      </w:r>
      <w:r w:rsidR="00836B34" w:rsidRPr="000B45F2">
        <w:rPr>
          <w:bCs/>
        </w:rPr>
        <w:t xml:space="preserve">the </w:t>
      </w:r>
      <w:r w:rsidR="0059683E" w:rsidRPr="000B45F2">
        <w:rPr>
          <w:bCs/>
        </w:rPr>
        <w:t>thing that is promised or committed</w:t>
      </w:r>
      <w:r w:rsidR="00F27415" w:rsidRPr="000B45F2">
        <w:rPr>
          <w:bCs/>
        </w:rPr>
        <w:t xml:space="preserve"> to is valuable in the first place</w:t>
      </w:r>
      <w:r w:rsidR="0017445A" w:rsidRPr="000B45F2">
        <w:rPr>
          <w:bCs/>
        </w:rPr>
        <w:t xml:space="preserve"> </w:t>
      </w:r>
      <w:r w:rsidR="00CE209B" w:rsidRPr="000B45F2">
        <w:rPr>
          <w:bCs/>
        </w:rPr>
        <w:t>(e.g.</w:t>
      </w:r>
      <w:r w:rsidR="00C66A80">
        <w:rPr>
          <w:bCs/>
        </w:rPr>
        <w:t>,</w:t>
      </w:r>
      <w:r w:rsidR="0017445A" w:rsidRPr="000B45F2">
        <w:rPr>
          <w:bCs/>
        </w:rPr>
        <w:t xml:space="preserve"> there is little to no deontic weight attached to a commitment or promise to</w:t>
      </w:r>
      <w:r w:rsidR="00CE209B" w:rsidRPr="000B45F2">
        <w:rPr>
          <w:bCs/>
        </w:rPr>
        <w:t xml:space="preserve"> count blades of grass,</w:t>
      </w:r>
      <w:r w:rsidR="00836B34" w:rsidRPr="000B45F2">
        <w:rPr>
          <w:bCs/>
        </w:rPr>
        <w:t xml:space="preserve"> be</w:t>
      </w:r>
      <w:r w:rsidR="0017445A" w:rsidRPr="000B45F2">
        <w:rPr>
          <w:bCs/>
        </w:rPr>
        <w:t xml:space="preserve"> </w:t>
      </w:r>
      <w:r w:rsidR="00836B34" w:rsidRPr="000B45F2">
        <w:rPr>
          <w:bCs/>
        </w:rPr>
        <w:t>a couch potato,</w:t>
      </w:r>
      <w:r w:rsidR="00CE209B" w:rsidRPr="000B45F2">
        <w:rPr>
          <w:bCs/>
        </w:rPr>
        <w:t xml:space="preserve"> </w:t>
      </w:r>
      <w:r w:rsidR="0017445A" w:rsidRPr="000B45F2">
        <w:rPr>
          <w:bCs/>
        </w:rPr>
        <w:t>aid a</w:t>
      </w:r>
      <w:r w:rsidR="00CE209B" w:rsidRPr="000B45F2">
        <w:rPr>
          <w:bCs/>
        </w:rPr>
        <w:t xml:space="preserve"> robbery, etc.)</w:t>
      </w:r>
      <w:r w:rsidR="00680052" w:rsidRPr="000B45F2">
        <w:rPr>
          <w:bCs/>
        </w:rPr>
        <w:t>.</w:t>
      </w:r>
      <w:r w:rsidR="001B26E0" w:rsidRPr="000B45F2">
        <w:rPr>
          <w:rStyle w:val="FootnoteReference"/>
          <w:bCs/>
        </w:rPr>
        <w:footnoteReference w:id="19"/>
      </w:r>
      <w:r w:rsidR="00680052" w:rsidRPr="000B45F2">
        <w:rPr>
          <w:bCs/>
        </w:rPr>
        <w:t xml:space="preserve"> </w:t>
      </w:r>
      <w:r w:rsidR="00FD321D" w:rsidRPr="000B45F2">
        <w:rPr>
          <w:bCs/>
        </w:rPr>
        <w:t>Finally</w:t>
      </w:r>
      <w:r w:rsidR="00595EFE" w:rsidRPr="000B45F2">
        <w:rPr>
          <w:bCs/>
        </w:rPr>
        <w:t>,</w:t>
      </w:r>
      <w:r w:rsidR="00FD321D" w:rsidRPr="000B45F2">
        <w:rPr>
          <w:bCs/>
        </w:rPr>
        <w:t xml:space="preserve"> it is unlikely that promises and commitments play a role in explaining our intuitions</w:t>
      </w:r>
      <w:r w:rsidR="00EC5784" w:rsidRPr="000B45F2">
        <w:rPr>
          <w:bCs/>
        </w:rPr>
        <w:t xml:space="preserve"> </w:t>
      </w:r>
      <w:r w:rsidR="00FD321D" w:rsidRPr="000B45F2">
        <w:rPr>
          <w:bCs/>
        </w:rPr>
        <w:t xml:space="preserve">because </w:t>
      </w:r>
      <w:r w:rsidR="00B912A9" w:rsidRPr="000B45F2">
        <w:rPr>
          <w:bCs/>
        </w:rPr>
        <w:t xml:space="preserve">I am </w:t>
      </w:r>
      <w:r w:rsidR="00FD321D" w:rsidRPr="000B45F2">
        <w:rPr>
          <w:bCs/>
        </w:rPr>
        <w:t xml:space="preserve">intuitively </w:t>
      </w:r>
      <w:r w:rsidR="00B912A9" w:rsidRPr="000B45F2">
        <w:rPr>
          <w:bCs/>
        </w:rPr>
        <w:t xml:space="preserve">permitted to remain </w:t>
      </w:r>
      <w:r w:rsidR="00B912A9" w:rsidRPr="000B45F2">
        <w:rPr>
          <w:bCs/>
        </w:rPr>
        <w:lastRenderedPageBreak/>
        <w:t xml:space="preserve">on the couch even if </w:t>
      </w:r>
      <w:r w:rsidR="00FD321D" w:rsidRPr="000B45F2">
        <w:rPr>
          <w:bCs/>
        </w:rPr>
        <w:t xml:space="preserve">I </w:t>
      </w:r>
      <w:r w:rsidR="006F152C" w:rsidRPr="000B45F2">
        <w:rPr>
          <w:bCs/>
        </w:rPr>
        <w:t>have no intention to make</w:t>
      </w:r>
      <w:r w:rsidR="00FD321D" w:rsidRPr="000B45F2">
        <w:rPr>
          <w:bCs/>
        </w:rPr>
        <w:t xml:space="preserve"> commitments </w:t>
      </w:r>
      <w:r w:rsidR="00B912A9" w:rsidRPr="000B45F2">
        <w:rPr>
          <w:bCs/>
        </w:rPr>
        <w:t>or promises to anyone</w:t>
      </w:r>
      <w:r w:rsidR="000C4FA0" w:rsidRPr="000B45F2">
        <w:rPr>
          <w:bCs/>
        </w:rPr>
        <w:t xml:space="preserve"> (including myself)</w:t>
      </w:r>
      <w:r w:rsidR="00FD321D" w:rsidRPr="000B45F2">
        <w:rPr>
          <w:bCs/>
        </w:rPr>
        <w:t>.</w:t>
      </w:r>
      <w:r w:rsidR="00037547" w:rsidRPr="000B45F2">
        <w:rPr>
          <w:bCs/>
        </w:rPr>
        <w:t xml:space="preserve"> </w:t>
      </w:r>
    </w:p>
    <w:p w14:paraId="1B1D64D3" w14:textId="749D7E58" w:rsidR="00A05027" w:rsidRPr="000B45F2" w:rsidRDefault="00306A53" w:rsidP="00880ACB">
      <w:pPr>
        <w:jc w:val="both"/>
        <w:rPr>
          <w:bCs/>
        </w:rPr>
      </w:pPr>
      <w:r w:rsidRPr="000B45F2">
        <w:rPr>
          <w:bCs/>
        </w:rPr>
        <w:t>My Arm</w:t>
      </w:r>
      <w:r w:rsidR="00643065" w:rsidRPr="000B45F2">
        <w:rPr>
          <w:bCs/>
        </w:rPr>
        <w:t xml:space="preserve"> </w:t>
      </w:r>
      <w:r w:rsidR="00983EF1" w:rsidRPr="000B45F2">
        <w:rPr>
          <w:bCs/>
        </w:rPr>
        <w:t>and</w:t>
      </w:r>
      <w:r w:rsidR="00643065" w:rsidRPr="000B45F2">
        <w:rPr>
          <w:bCs/>
        </w:rPr>
        <w:t xml:space="preserve"> </w:t>
      </w:r>
      <w:r w:rsidRPr="000B45F2">
        <w:rPr>
          <w:bCs/>
        </w:rPr>
        <w:t>Your Arm</w:t>
      </w:r>
      <w:r w:rsidR="00983EF1" w:rsidRPr="000B45F2">
        <w:rPr>
          <w:bCs/>
        </w:rPr>
        <w:t xml:space="preserve"> are also hard to accommodate</w:t>
      </w:r>
      <w:r w:rsidR="00643065" w:rsidRPr="000B45F2">
        <w:rPr>
          <w:bCs/>
        </w:rPr>
        <w:t>. Perhaps I can commit to saving my own arm or make a promise to someone that I preserve my arm</w:t>
      </w:r>
      <w:r w:rsidR="00BE5FDB" w:rsidRPr="000B45F2">
        <w:rPr>
          <w:bCs/>
        </w:rPr>
        <w:t xml:space="preserve"> in </w:t>
      </w:r>
      <w:r w:rsidRPr="000B45F2">
        <w:rPr>
          <w:bCs/>
        </w:rPr>
        <w:t>My Arm</w:t>
      </w:r>
      <w:r w:rsidR="00643065" w:rsidRPr="000B45F2">
        <w:rPr>
          <w:bCs/>
        </w:rPr>
        <w:t>, but neither</w:t>
      </w:r>
      <w:r w:rsidR="00A05027" w:rsidRPr="000B45F2">
        <w:rPr>
          <w:bCs/>
        </w:rPr>
        <w:t xml:space="preserve"> self-serving</w:t>
      </w:r>
      <w:r w:rsidR="00643065" w:rsidRPr="000B45F2">
        <w:rPr>
          <w:bCs/>
        </w:rPr>
        <w:t xml:space="preserve"> consideration</w:t>
      </w:r>
      <w:r w:rsidR="000C4FA0" w:rsidRPr="000B45F2">
        <w:rPr>
          <w:bCs/>
        </w:rPr>
        <w:t xml:space="preserve"> </w:t>
      </w:r>
      <w:r w:rsidR="006F152C" w:rsidRPr="000B45F2">
        <w:rPr>
          <w:bCs/>
        </w:rPr>
        <w:t>seems</w:t>
      </w:r>
      <w:r w:rsidR="00BE5FDB" w:rsidRPr="000B45F2">
        <w:rPr>
          <w:bCs/>
        </w:rPr>
        <w:t xml:space="preserve"> deontically weighty enough to make it the case that I thereby ought to do so.</w:t>
      </w:r>
      <w:r w:rsidR="00A05027" w:rsidRPr="000B45F2">
        <w:rPr>
          <w:bCs/>
        </w:rPr>
        <w:t xml:space="preserve"> </w:t>
      </w:r>
    </w:p>
    <w:p w14:paraId="4B426D58" w14:textId="6D27FDB0" w:rsidR="00B912A9" w:rsidRPr="000B45F2" w:rsidRDefault="000C4FA0" w:rsidP="00880ACB">
      <w:pPr>
        <w:jc w:val="both"/>
        <w:rPr>
          <w:bCs/>
        </w:rPr>
      </w:pPr>
      <w:r w:rsidRPr="000B45F2">
        <w:rPr>
          <w:bCs/>
        </w:rPr>
        <w:t xml:space="preserve">Now consider </w:t>
      </w:r>
      <w:r w:rsidR="00306A53" w:rsidRPr="000B45F2">
        <w:rPr>
          <w:bCs/>
        </w:rPr>
        <w:t>Your Arm</w:t>
      </w:r>
      <w:r w:rsidRPr="000B45F2">
        <w:rPr>
          <w:bCs/>
        </w:rPr>
        <w:t xml:space="preserve">. </w:t>
      </w:r>
      <w:r w:rsidR="008523FA" w:rsidRPr="000B45F2">
        <w:rPr>
          <w:bCs/>
        </w:rPr>
        <w:t xml:space="preserve">We can imagine that from the control booth, I am in no position to make promises or commitments to you to save your arm. </w:t>
      </w:r>
      <w:r w:rsidR="00A367E9" w:rsidRPr="000B45F2">
        <w:rPr>
          <w:bCs/>
        </w:rPr>
        <w:t xml:space="preserve">The other option is that I make a commitment to myself or a promise to others that I </w:t>
      </w:r>
      <w:r w:rsidR="00155B7F" w:rsidRPr="000B45F2">
        <w:rPr>
          <w:bCs/>
        </w:rPr>
        <w:t>w</w:t>
      </w:r>
      <w:r w:rsidR="00CE494C" w:rsidRPr="000B45F2">
        <w:rPr>
          <w:bCs/>
        </w:rPr>
        <w:t xml:space="preserve">ill refrain from </w:t>
      </w:r>
      <w:r w:rsidR="00155B7F" w:rsidRPr="000B45F2">
        <w:rPr>
          <w:bCs/>
        </w:rPr>
        <w:t>inflict</w:t>
      </w:r>
      <w:r w:rsidR="00CE494C" w:rsidRPr="000B45F2">
        <w:rPr>
          <w:bCs/>
        </w:rPr>
        <w:t>ing certain</w:t>
      </w:r>
      <w:r w:rsidR="00155B7F" w:rsidRPr="000B45F2">
        <w:rPr>
          <w:bCs/>
        </w:rPr>
        <w:t xml:space="preserve"> costs on others to promote the impartial good. However, </w:t>
      </w:r>
      <w:r w:rsidR="00CE494C" w:rsidRPr="000B45F2">
        <w:rPr>
          <w:bCs/>
        </w:rPr>
        <w:t>if such a restriction is justified, it is</w:t>
      </w:r>
      <w:r w:rsidR="00C20B42" w:rsidRPr="000B45F2">
        <w:rPr>
          <w:bCs/>
        </w:rPr>
        <w:t xml:space="preserve"> not</w:t>
      </w:r>
      <w:r w:rsidR="00CE494C" w:rsidRPr="000B45F2">
        <w:rPr>
          <w:bCs/>
        </w:rPr>
        <w:t xml:space="preserve"> </w:t>
      </w:r>
      <w:r w:rsidR="00CE494C" w:rsidRPr="000B45F2">
        <w:rPr>
          <w:bCs/>
          <w:i/>
          <w:iCs/>
        </w:rPr>
        <w:t>because</w:t>
      </w:r>
      <w:r w:rsidR="00CE494C" w:rsidRPr="000B45F2">
        <w:rPr>
          <w:bCs/>
        </w:rPr>
        <w:t xml:space="preserve"> of </w:t>
      </w:r>
      <w:r w:rsidR="00497AAF" w:rsidRPr="000B45F2">
        <w:rPr>
          <w:bCs/>
        </w:rPr>
        <w:t xml:space="preserve">my making a </w:t>
      </w:r>
      <w:r w:rsidR="00CE494C" w:rsidRPr="000B45F2">
        <w:rPr>
          <w:bCs/>
        </w:rPr>
        <w:t>promise or commitment</w:t>
      </w:r>
      <w:r w:rsidR="003C2282" w:rsidRPr="000B45F2">
        <w:rPr>
          <w:bCs/>
        </w:rPr>
        <w:t xml:space="preserve"> to myself</w:t>
      </w:r>
      <w:r w:rsidR="00CE494C" w:rsidRPr="000B45F2">
        <w:rPr>
          <w:bCs/>
        </w:rPr>
        <w:t>.</w:t>
      </w:r>
      <w:r w:rsidR="00837A60" w:rsidRPr="000B45F2">
        <w:rPr>
          <w:bCs/>
        </w:rPr>
        <w:t xml:space="preserve"> In</w:t>
      </w:r>
      <w:r w:rsidR="00041EC9" w:rsidRPr="000B45F2">
        <w:rPr>
          <w:bCs/>
        </w:rPr>
        <w:t xml:space="preserve">stead, the </w:t>
      </w:r>
      <w:r w:rsidR="00837A60" w:rsidRPr="000B45F2">
        <w:rPr>
          <w:bCs/>
        </w:rPr>
        <w:t>deontic weight attached to the</w:t>
      </w:r>
      <w:r w:rsidR="00CE494C" w:rsidRPr="000B45F2">
        <w:rPr>
          <w:bCs/>
        </w:rPr>
        <w:t xml:space="preserve"> restriction </w:t>
      </w:r>
      <w:r w:rsidR="00837A60" w:rsidRPr="000B45F2">
        <w:rPr>
          <w:bCs/>
        </w:rPr>
        <w:t>exists independently of the</w:t>
      </w:r>
      <w:r w:rsidR="00CE494C" w:rsidRPr="000B45F2">
        <w:rPr>
          <w:bCs/>
        </w:rPr>
        <w:t xml:space="preserve"> promises or commitments that we make</w:t>
      </w:r>
      <w:r w:rsidR="00837A60" w:rsidRPr="000B45F2">
        <w:rPr>
          <w:bCs/>
        </w:rPr>
        <w:t xml:space="preserve"> even if the latter</w:t>
      </w:r>
      <w:r w:rsidR="00A05027" w:rsidRPr="000B45F2">
        <w:rPr>
          <w:bCs/>
        </w:rPr>
        <w:t xml:space="preserve"> </w:t>
      </w:r>
      <w:r w:rsidR="003C2282" w:rsidRPr="000B45F2">
        <w:rPr>
          <w:bCs/>
        </w:rPr>
        <w:t>adds</w:t>
      </w:r>
      <w:r w:rsidR="00837A60" w:rsidRPr="000B45F2">
        <w:rPr>
          <w:bCs/>
        </w:rPr>
        <w:t xml:space="preserve"> some additional deontic weight</w:t>
      </w:r>
      <w:r w:rsidR="009F7ECC" w:rsidRPr="000B45F2">
        <w:rPr>
          <w:bCs/>
        </w:rPr>
        <w:t xml:space="preserve"> to it.</w:t>
      </w:r>
      <w:r w:rsidR="006F152C" w:rsidRPr="000B45F2">
        <w:rPr>
          <w:bCs/>
        </w:rPr>
        <w:t xml:space="preserve"> In sum, the deontic weight that results from atelic </w:t>
      </w:r>
      <w:r w:rsidR="007E45E5">
        <w:rPr>
          <w:bCs/>
        </w:rPr>
        <w:t xml:space="preserve">reasons </w:t>
      </w:r>
      <w:r w:rsidR="006F152C" w:rsidRPr="000B45F2">
        <w:rPr>
          <w:bCs/>
        </w:rPr>
        <w:t xml:space="preserve">are </w:t>
      </w:r>
      <w:r w:rsidR="003C2282" w:rsidRPr="000B45F2">
        <w:rPr>
          <w:bCs/>
        </w:rPr>
        <w:t xml:space="preserve">either typically </w:t>
      </w:r>
      <w:r w:rsidR="006F152C" w:rsidRPr="000B45F2">
        <w:rPr>
          <w:bCs/>
        </w:rPr>
        <w:t>too weak or some other factor explains the relevant permissions and restrictions in</w:t>
      </w:r>
      <w:r w:rsidR="00A05027" w:rsidRPr="000B45F2">
        <w:rPr>
          <w:bCs/>
        </w:rPr>
        <w:t xml:space="preserve"> these</w:t>
      </w:r>
      <w:r w:rsidR="006F152C" w:rsidRPr="000B45F2">
        <w:rPr>
          <w:bCs/>
        </w:rPr>
        <w:t xml:space="preserve"> cases. </w:t>
      </w:r>
    </w:p>
    <w:p w14:paraId="209776FA" w14:textId="336463FE" w:rsidR="00643065" w:rsidRPr="000B45F2" w:rsidRDefault="00B912A9" w:rsidP="00880ACB">
      <w:pPr>
        <w:jc w:val="both"/>
        <w:rPr>
          <w:bCs/>
        </w:rPr>
      </w:pPr>
      <w:r w:rsidRPr="000B45F2">
        <w:rPr>
          <w:bCs/>
        </w:rPr>
        <w:t xml:space="preserve">Consider another strategy for </w:t>
      </w:r>
      <w:r w:rsidR="000D7EB9">
        <w:rPr>
          <w:bCs/>
        </w:rPr>
        <w:t xml:space="preserve">generating new </w:t>
      </w:r>
      <w:r w:rsidRPr="000B45F2">
        <w:rPr>
          <w:bCs/>
        </w:rPr>
        <w:t xml:space="preserve">deontic weight. </w:t>
      </w:r>
      <w:r w:rsidR="007C5503" w:rsidRPr="000B45F2">
        <w:rPr>
          <w:bCs/>
        </w:rPr>
        <w:t xml:space="preserve">Chang </w:t>
      </w:r>
      <w:r w:rsidR="00D53EC8" w:rsidRPr="000B45F2">
        <w:rPr>
          <w:bCs/>
        </w:rPr>
        <w:t>(201</w:t>
      </w:r>
      <w:r w:rsidR="00B24C14" w:rsidRPr="000B45F2">
        <w:rPr>
          <w:bCs/>
        </w:rPr>
        <w:t>3</w:t>
      </w:r>
      <w:r w:rsidR="00D53EC8" w:rsidRPr="000B45F2">
        <w:rPr>
          <w:bCs/>
        </w:rPr>
        <w:t xml:space="preserve">) </w:t>
      </w:r>
      <w:r w:rsidR="007C5503" w:rsidRPr="000B45F2">
        <w:rPr>
          <w:bCs/>
        </w:rPr>
        <w:t>has argued that we have the ability to create will-based reasons</w:t>
      </w:r>
      <w:r w:rsidR="00AD1A00" w:rsidRPr="000B45F2">
        <w:rPr>
          <w:bCs/>
        </w:rPr>
        <w:t xml:space="preserve"> only</w:t>
      </w:r>
      <w:r w:rsidR="00983EF1" w:rsidRPr="000B45F2">
        <w:rPr>
          <w:bCs/>
        </w:rPr>
        <w:t xml:space="preserve"> </w:t>
      </w:r>
      <w:r w:rsidR="00AB3B5E" w:rsidRPr="000B45F2">
        <w:rPr>
          <w:bCs/>
        </w:rPr>
        <w:t xml:space="preserve">when the reasons supporting </w:t>
      </w:r>
      <w:r w:rsidR="00D53EC8" w:rsidRPr="000B45F2">
        <w:rPr>
          <w:bCs/>
        </w:rPr>
        <w:t>alternative actions are on a par</w:t>
      </w:r>
      <w:r w:rsidR="00210929" w:rsidRPr="000B45F2">
        <w:rPr>
          <w:bCs/>
        </w:rPr>
        <w:t>.</w:t>
      </w:r>
      <w:r w:rsidR="000955CB" w:rsidRPr="000B45F2">
        <w:rPr>
          <w:bCs/>
        </w:rPr>
        <w:t xml:space="preserve"> Chang m</w:t>
      </w:r>
      <w:r w:rsidR="00CB74F8" w:rsidRPr="000B45F2">
        <w:rPr>
          <w:bCs/>
        </w:rPr>
        <w:t>ight</w:t>
      </w:r>
      <w:r w:rsidR="000955CB" w:rsidRPr="000B45F2">
        <w:rPr>
          <w:bCs/>
        </w:rPr>
        <w:t xml:space="preserve"> be right. Perhaps we do have this kind of </w:t>
      </w:r>
      <w:r w:rsidR="007A6FE5">
        <w:rPr>
          <w:bCs/>
        </w:rPr>
        <w:t>ability</w:t>
      </w:r>
      <w:r w:rsidR="000955CB" w:rsidRPr="000B45F2">
        <w:rPr>
          <w:bCs/>
        </w:rPr>
        <w:t xml:space="preserve"> and we can use it to get out of practical impasses</w:t>
      </w:r>
      <w:r w:rsidR="00AB3B5E" w:rsidRPr="000B45F2">
        <w:rPr>
          <w:bCs/>
        </w:rPr>
        <w:t xml:space="preserve"> </w:t>
      </w:r>
      <w:r w:rsidR="000955CB" w:rsidRPr="000B45F2">
        <w:rPr>
          <w:bCs/>
        </w:rPr>
        <w:t xml:space="preserve">ranging from </w:t>
      </w:r>
      <w:r w:rsidR="00983EF1" w:rsidRPr="000B45F2">
        <w:rPr>
          <w:bCs/>
        </w:rPr>
        <w:t xml:space="preserve">important </w:t>
      </w:r>
      <w:r w:rsidR="00AB3B5E" w:rsidRPr="000B45F2">
        <w:rPr>
          <w:bCs/>
        </w:rPr>
        <w:t>career</w:t>
      </w:r>
      <w:r w:rsidR="00983EF1" w:rsidRPr="000B45F2">
        <w:rPr>
          <w:bCs/>
        </w:rPr>
        <w:t xml:space="preserve"> </w:t>
      </w:r>
      <w:r w:rsidR="000955CB" w:rsidRPr="000B45F2">
        <w:rPr>
          <w:bCs/>
        </w:rPr>
        <w:t>choices to</w:t>
      </w:r>
      <w:r w:rsidR="00AB3B5E" w:rsidRPr="000B45F2">
        <w:rPr>
          <w:bCs/>
        </w:rPr>
        <w:t xml:space="preserve"> trivial dessert choices for dinner</w:t>
      </w:r>
      <w:r w:rsidR="000955CB" w:rsidRPr="000B45F2">
        <w:rPr>
          <w:bCs/>
        </w:rPr>
        <w:t xml:space="preserve">. The problem is that </w:t>
      </w:r>
      <w:r w:rsidR="009650D7" w:rsidRPr="000B45F2">
        <w:rPr>
          <w:bCs/>
        </w:rPr>
        <w:t>even if we face many choices where options are on a par, the cases w</w:t>
      </w:r>
      <w:r w:rsidR="00CB74F8" w:rsidRPr="000B45F2">
        <w:rPr>
          <w:bCs/>
        </w:rPr>
        <w:t>e</w:t>
      </w:r>
      <w:r w:rsidR="009650D7" w:rsidRPr="000B45F2">
        <w:rPr>
          <w:bCs/>
        </w:rPr>
        <w:t xml:space="preserve"> are considering (Exercise or Couch, </w:t>
      </w:r>
      <w:r w:rsidR="00306A53" w:rsidRPr="000B45F2">
        <w:rPr>
          <w:bCs/>
        </w:rPr>
        <w:t>My Arm</w:t>
      </w:r>
      <w:r w:rsidR="009650D7" w:rsidRPr="000B45F2">
        <w:rPr>
          <w:bCs/>
        </w:rPr>
        <w:t xml:space="preserve">, and </w:t>
      </w:r>
      <w:r w:rsidR="00306A53" w:rsidRPr="000B45F2">
        <w:rPr>
          <w:bCs/>
        </w:rPr>
        <w:t>Your Arm</w:t>
      </w:r>
      <w:r w:rsidR="009650D7" w:rsidRPr="000B45F2">
        <w:rPr>
          <w:bCs/>
        </w:rPr>
        <w:t xml:space="preserve">) are </w:t>
      </w:r>
      <w:r w:rsidR="00381F94" w:rsidRPr="000B45F2">
        <w:rPr>
          <w:bCs/>
        </w:rPr>
        <w:t>either not parity cases or not the kinds of cases where Chang’s proposal would apply</w:t>
      </w:r>
      <w:r w:rsidR="009650D7" w:rsidRPr="000B45F2">
        <w:rPr>
          <w:bCs/>
        </w:rPr>
        <w:t xml:space="preserve">. </w:t>
      </w:r>
      <w:r w:rsidR="000B614E" w:rsidRPr="000B45F2">
        <w:rPr>
          <w:bCs/>
        </w:rPr>
        <w:t>E</w:t>
      </w:r>
      <w:r w:rsidR="009650D7" w:rsidRPr="000B45F2">
        <w:rPr>
          <w:bCs/>
        </w:rPr>
        <w:t>xercis</w:t>
      </w:r>
      <w:r w:rsidR="000B614E" w:rsidRPr="000B45F2">
        <w:rPr>
          <w:bCs/>
        </w:rPr>
        <w:t xml:space="preserve">ing is better than </w:t>
      </w:r>
      <w:r w:rsidR="009650D7" w:rsidRPr="000B45F2">
        <w:rPr>
          <w:bCs/>
        </w:rPr>
        <w:t>stay</w:t>
      </w:r>
      <w:r w:rsidR="000B614E" w:rsidRPr="000B45F2">
        <w:rPr>
          <w:bCs/>
        </w:rPr>
        <w:t>ing</w:t>
      </w:r>
      <w:r w:rsidR="009650D7" w:rsidRPr="000B45F2">
        <w:rPr>
          <w:bCs/>
        </w:rPr>
        <w:t xml:space="preserve"> on the couch</w:t>
      </w:r>
      <w:r w:rsidR="000B614E" w:rsidRPr="000B45F2">
        <w:rPr>
          <w:bCs/>
        </w:rPr>
        <w:t xml:space="preserve"> </w:t>
      </w:r>
      <w:r w:rsidR="009650D7" w:rsidRPr="000B45F2">
        <w:rPr>
          <w:bCs/>
        </w:rPr>
        <w:t xml:space="preserve">and the </w:t>
      </w:r>
      <w:r w:rsidR="009B0078">
        <w:rPr>
          <w:bCs/>
        </w:rPr>
        <w:t>reason</w:t>
      </w:r>
      <w:r w:rsidR="009650D7" w:rsidRPr="000B45F2">
        <w:rPr>
          <w:bCs/>
        </w:rPr>
        <w:t>s that favor sacrificing my own arm or pushing a button to sacrifice your arm deontically outweigh not doing so.</w:t>
      </w:r>
      <w:r w:rsidR="0000773A" w:rsidRPr="000B45F2">
        <w:rPr>
          <w:rStyle w:val="FootnoteReference"/>
          <w:bCs/>
        </w:rPr>
        <w:footnoteReference w:id="20"/>
      </w:r>
      <w:r w:rsidR="009650D7" w:rsidRPr="000B45F2">
        <w:rPr>
          <w:bCs/>
        </w:rPr>
        <w:t xml:space="preserve"> </w:t>
      </w:r>
      <w:r w:rsidR="00CB74F8" w:rsidRPr="000B45F2">
        <w:rPr>
          <w:bCs/>
        </w:rPr>
        <w:t>Of course, a proponent of will-based reasons c</w:t>
      </w:r>
      <w:r w:rsidR="0000773A" w:rsidRPr="000B45F2">
        <w:rPr>
          <w:bCs/>
        </w:rPr>
        <w:t>ould</w:t>
      </w:r>
      <w:r w:rsidR="00497AAF" w:rsidRPr="000B45F2">
        <w:rPr>
          <w:bCs/>
        </w:rPr>
        <w:t xml:space="preserve"> propose that our ability to create such reasons </w:t>
      </w:r>
      <w:r w:rsidR="00763509" w:rsidRPr="000B45F2">
        <w:rPr>
          <w:bCs/>
        </w:rPr>
        <w:t>applies in all cases (not just parity cases)</w:t>
      </w:r>
      <w:r w:rsidR="00D247BB" w:rsidRPr="000B45F2">
        <w:rPr>
          <w:bCs/>
        </w:rPr>
        <w:t>.</w:t>
      </w:r>
      <w:r w:rsidR="00140CA5" w:rsidRPr="000B45F2">
        <w:rPr>
          <w:bCs/>
        </w:rPr>
        <w:t xml:space="preserve"> But </w:t>
      </w:r>
      <w:r w:rsidR="000B614E" w:rsidRPr="000B45F2">
        <w:rPr>
          <w:bCs/>
        </w:rPr>
        <w:t xml:space="preserve">this </w:t>
      </w:r>
      <w:r w:rsidR="000F6CA5" w:rsidRPr="000B45F2">
        <w:rPr>
          <w:bCs/>
        </w:rPr>
        <w:t>is</w:t>
      </w:r>
      <w:r w:rsidR="000B614E" w:rsidRPr="000B45F2">
        <w:rPr>
          <w:bCs/>
        </w:rPr>
        <w:t xml:space="preserve"> implausible</w:t>
      </w:r>
      <w:r w:rsidR="00D247BB" w:rsidRPr="000B45F2">
        <w:rPr>
          <w:bCs/>
        </w:rPr>
        <w:t>. Chang</w:t>
      </w:r>
      <w:r w:rsidR="00B24C14" w:rsidRPr="000B45F2">
        <w:rPr>
          <w:bCs/>
        </w:rPr>
        <w:t xml:space="preserve"> </w:t>
      </w:r>
      <w:r w:rsidR="00A82139" w:rsidRPr="000B45F2">
        <w:rPr>
          <w:bCs/>
        </w:rPr>
        <w:t>restricts the</w:t>
      </w:r>
      <w:r w:rsidR="00D247BB" w:rsidRPr="000B45F2">
        <w:rPr>
          <w:bCs/>
        </w:rPr>
        <w:t xml:space="preserve"> ability </w:t>
      </w:r>
      <w:r w:rsidR="00A82139" w:rsidRPr="000B45F2">
        <w:rPr>
          <w:bCs/>
        </w:rPr>
        <w:t>to create will-based reasons</w:t>
      </w:r>
      <w:r w:rsidR="00DB5D0C" w:rsidRPr="000B45F2">
        <w:rPr>
          <w:bCs/>
        </w:rPr>
        <w:t xml:space="preserve"> (</w:t>
      </w:r>
      <w:r w:rsidR="0067065E" w:rsidRPr="000B45F2">
        <w:rPr>
          <w:bCs/>
        </w:rPr>
        <w:t>i.e.</w:t>
      </w:r>
      <w:r w:rsidR="00C66A80">
        <w:rPr>
          <w:bCs/>
        </w:rPr>
        <w:t>,</w:t>
      </w:r>
      <w:r w:rsidR="00BE7220">
        <w:rPr>
          <w:bCs/>
        </w:rPr>
        <w:t xml:space="preserve"> </w:t>
      </w:r>
      <w:r w:rsidR="00DB5D0C" w:rsidRPr="000B45F2">
        <w:rPr>
          <w:bCs/>
        </w:rPr>
        <w:t>increasing the weight of an existing favoring consideration)</w:t>
      </w:r>
      <w:r w:rsidR="00A82139" w:rsidRPr="000B45F2">
        <w:rPr>
          <w:bCs/>
        </w:rPr>
        <w:t xml:space="preserve"> </w:t>
      </w:r>
      <w:r w:rsidR="00D247BB" w:rsidRPr="000B45F2">
        <w:rPr>
          <w:bCs/>
        </w:rPr>
        <w:t xml:space="preserve">to parity cases </w:t>
      </w:r>
      <w:r w:rsidR="000F6CA5" w:rsidRPr="000B45F2">
        <w:rPr>
          <w:bCs/>
        </w:rPr>
        <w:t>by acknowledging that</w:t>
      </w:r>
      <w:r w:rsidR="00D247BB" w:rsidRPr="000B45F2">
        <w:rPr>
          <w:bCs/>
        </w:rPr>
        <w:t xml:space="preserve"> there are given reasons</w:t>
      </w:r>
      <w:r w:rsidR="006F152C" w:rsidRPr="000B45F2">
        <w:rPr>
          <w:bCs/>
        </w:rPr>
        <w:t xml:space="preserve"> that set limits </w:t>
      </w:r>
      <w:r w:rsidR="001313E5" w:rsidRPr="000B45F2">
        <w:rPr>
          <w:bCs/>
        </w:rPr>
        <w:t>on</w:t>
      </w:r>
      <w:r w:rsidR="006F152C" w:rsidRPr="000B45F2">
        <w:rPr>
          <w:bCs/>
        </w:rPr>
        <w:t xml:space="preserve"> practical deliberation.</w:t>
      </w:r>
      <w:r w:rsidR="00DB5D0C" w:rsidRPr="000B45F2">
        <w:rPr>
          <w:rStyle w:val="FootnoteReference"/>
          <w:bCs/>
        </w:rPr>
        <w:footnoteReference w:id="21"/>
      </w:r>
      <w:r w:rsidR="006F152C" w:rsidRPr="000B45F2">
        <w:rPr>
          <w:bCs/>
        </w:rPr>
        <w:t xml:space="preserve"> </w:t>
      </w:r>
      <w:r w:rsidR="00AD0491" w:rsidRPr="000B45F2">
        <w:rPr>
          <w:bCs/>
        </w:rPr>
        <w:t xml:space="preserve">Thus, </w:t>
      </w:r>
      <w:r w:rsidR="00AD0491" w:rsidRPr="000B45F2">
        <w:rPr>
          <w:bCs/>
        </w:rPr>
        <w:lastRenderedPageBreak/>
        <w:t>she denies that we can justify doing</w:t>
      </w:r>
      <w:r w:rsidR="00D247BB" w:rsidRPr="000B45F2">
        <w:rPr>
          <w:bCs/>
        </w:rPr>
        <w:t xml:space="preserve"> whatever we want simply by creating enough will-based reasons to support whatever action we so happen to choose.</w:t>
      </w:r>
      <w:r w:rsidR="00CB74F8" w:rsidRPr="000B45F2">
        <w:rPr>
          <w:rStyle w:val="FootnoteReference"/>
          <w:bCs/>
        </w:rPr>
        <w:footnoteReference w:id="22"/>
      </w:r>
      <w:r w:rsidR="00DB5D0C" w:rsidRPr="000B45F2">
        <w:rPr>
          <w:bCs/>
        </w:rPr>
        <w:t xml:space="preserve"> </w:t>
      </w:r>
    </w:p>
    <w:p w14:paraId="34BA082F" w14:textId="42DFC104" w:rsidR="009E278C" w:rsidRPr="000B45F2" w:rsidRDefault="00210929" w:rsidP="00880ACB">
      <w:pPr>
        <w:pStyle w:val="Ting-Heading3"/>
        <w:jc w:val="both"/>
        <w:rPr>
          <w:bCs/>
        </w:rPr>
      </w:pPr>
      <w:r w:rsidRPr="000B45F2">
        <w:rPr>
          <w:bCs/>
        </w:rPr>
        <w:t>Increasing the Weight of Existing</w:t>
      </w:r>
      <w:r w:rsidR="00AA780E" w:rsidRPr="000B45F2">
        <w:rPr>
          <w:bCs/>
        </w:rPr>
        <w:t xml:space="preserve"> Reasons: </w:t>
      </w:r>
      <w:r w:rsidR="009605EF">
        <w:rPr>
          <w:bCs/>
        </w:rPr>
        <w:t>Desire</w:t>
      </w:r>
      <w:r w:rsidR="009E278C" w:rsidRPr="000B45F2">
        <w:rPr>
          <w:bCs/>
        </w:rPr>
        <w:t xml:space="preserve"> and Value</w:t>
      </w:r>
    </w:p>
    <w:p w14:paraId="6D7FECAF" w14:textId="053D3B85" w:rsidR="000955CB" w:rsidRPr="000B45F2" w:rsidRDefault="000955CB" w:rsidP="00880ACB">
      <w:pPr>
        <w:jc w:val="both"/>
        <w:rPr>
          <w:bCs/>
        </w:rPr>
      </w:pPr>
      <w:r w:rsidRPr="000B45F2">
        <w:rPr>
          <w:bCs/>
        </w:rPr>
        <w:t>Instead of creating a new reason with its own deontic weight, agents can also affect the deontic weight of a</w:t>
      </w:r>
      <w:r w:rsidR="00E60125">
        <w:rPr>
          <w:bCs/>
        </w:rPr>
        <w:t xml:space="preserve"> pre-existing</w:t>
      </w:r>
      <w:r w:rsidRPr="000B45F2">
        <w:rPr>
          <w:bCs/>
        </w:rPr>
        <w:t xml:space="preserve"> reason </w:t>
      </w:r>
      <w:r w:rsidR="00ED33A9" w:rsidRPr="000B45F2">
        <w:rPr>
          <w:bCs/>
        </w:rPr>
        <w:t>by</w:t>
      </w:r>
      <w:r w:rsidR="003C53B7" w:rsidRPr="000B45F2">
        <w:rPr>
          <w:bCs/>
        </w:rPr>
        <w:t xml:space="preserve"> </w:t>
      </w:r>
      <w:r w:rsidR="00ED33A9" w:rsidRPr="000B45F2">
        <w:rPr>
          <w:bCs/>
        </w:rPr>
        <w:t xml:space="preserve">altering </w:t>
      </w:r>
      <w:r w:rsidR="008B3F6A" w:rsidRPr="000B45F2">
        <w:rPr>
          <w:bCs/>
        </w:rPr>
        <w:t xml:space="preserve">a factor that is directly proportional to the weight of </w:t>
      </w:r>
      <w:r w:rsidR="009D3977" w:rsidRPr="000B45F2">
        <w:rPr>
          <w:bCs/>
        </w:rPr>
        <w:t>said</w:t>
      </w:r>
      <w:r w:rsidR="008B3F6A" w:rsidRPr="000B45F2">
        <w:rPr>
          <w:bCs/>
        </w:rPr>
        <w:t xml:space="preserve"> reason. </w:t>
      </w:r>
      <w:r w:rsidR="00F734AA" w:rsidRPr="000B45F2">
        <w:rPr>
          <w:bCs/>
        </w:rPr>
        <w:t>C</w:t>
      </w:r>
      <w:r w:rsidR="008B3F6A" w:rsidRPr="000B45F2">
        <w:rPr>
          <w:bCs/>
        </w:rPr>
        <w:t>onsider</w:t>
      </w:r>
      <w:r w:rsidR="00F734AA" w:rsidRPr="000B45F2">
        <w:rPr>
          <w:bCs/>
        </w:rPr>
        <w:t xml:space="preserve"> the</w:t>
      </w:r>
      <w:r w:rsidR="008B3F6A" w:rsidRPr="000B45F2">
        <w:rPr>
          <w:bCs/>
        </w:rPr>
        <w:t xml:space="preserve"> two</w:t>
      </w:r>
      <w:r w:rsidR="00F734AA" w:rsidRPr="000B45F2">
        <w:rPr>
          <w:bCs/>
        </w:rPr>
        <w:t xml:space="preserve"> most common</w:t>
      </w:r>
      <w:r w:rsidR="008B3F6A" w:rsidRPr="000B45F2">
        <w:rPr>
          <w:bCs/>
        </w:rPr>
        <w:t xml:space="preserve"> candidate</w:t>
      </w:r>
      <w:r w:rsidR="003A7D09">
        <w:rPr>
          <w:bCs/>
        </w:rPr>
        <w:t xml:space="preserve"> factors</w:t>
      </w:r>
      <w:r w:rsidR="008B3F6A" w:rsidRPr="000B45F2">
        <w:rPr>
          <w:bCs/>
        </w:rPr>
        <w:t>: desire and value.</w:t>
      </w:r>
    </w:p>
    <w:p w14:paraId="035EFFAD" w14:textId="6982FF0C" w:rsidR="004D1B27" w:rsidRPr="000B45F2" w:rsidRDefault="003C53B7" w:rsidP="00880ACB">
      <w:pPr>
        <w:jc w:val="both"/>
        <w:rPr>
          <w:bCs/>
        </w:rPr>
      </w:pPr>
      <w:r w:rsidRPr="000B45F2">
        <w:rPr>
          <w:bCs/>
        </w:rPr>
        <w:t>For Humean</w:t>
      </w:r>
      <w:r w:rsidR="008D6D8C" w:rsidRPr="000B45F2">
        <w:rPr>
          <w:bCs/>
        </w:rPr>
        <w:t xml:space="preserve"> </w:t>
      </w:r>
      <w:r w:rsidRPr="000B45F2">
        <w:rPr>
          <w:bCs/>
        </w:rPr>
        <w:t>proportionalists</w:t>
      </w:r>
      <w:r w:rsidR="008D6D8C" w:rsidRPr="000B45F2">
        <w:rPr>
          <w:bCs/>
        </w:rPr>
        <w:t xml:space="preserve"> about reasons</w:t>
      </w:r>
      <w:r w:rsidRPr="000B45F2">
        <w:rPr>
          <w:bCs/>
        </w:rPr>
        <w:t xml:space="preserve">, the weight of a reason </w:t>
      </w:r>
      <w:r w:rsidR="00E434F6" w:rsidRPr="000B45F2">
        <w:rPr>
          <w:bCs/>
        </w:rPr>
        <w:t>is directly proportional</w:t>
      </w:r>
      <w:r w:rsidRPr="000B45F2">
        <w:rPr>
          <w:bCs/>
        </w:rPr>
        <w:t xml:space="preserve"> to the strength of a desire for a particular outcome.</w:t>
      </w:r>
      <w:r w:rsidR="00945F54" w:rsidRPr="000B45F2">
        <w:rPr>
          <w:bCs/>
        </w:rPr>
        <w:t xml:space="preserve"> For example, the fact that there is food in the fridge is a reason for me to go to the fridge if I desire food. The weight of that reason, according to proportionalists, is directly proportional to the strength of my desire for food. </w:t>
      </w:r>
      <w:r w:rsidR="00351F73" w:rsidRPr="000B45F2">
        <w:rPr>
          <w:bCs/>
        </w:rPr>
        <w:t xml:space="preserve">Though Humean proportionalism </w:t>
      </w:r>
      <w:r w:rsidR="008D6D8C" w:rsidRPr="000B45F2">
        <w:rPr>
          <w:bCs/>
        </w:rPr>
        <w:t>is</w:t>
      </w:r>
      <w:r w:rsidR="00351F73" w:rsidRPr="000B45F2">
        <w:rPr>
          <w:bCs/>
        </w:rPr>
        <w:t xml:space="preserve"> controversial, </w:t>
      </w:r>
      <w:r w:rsidR="008D6D8C" w:rsidRPr="000B45F2">
        <w:rPr>
          <w:bCs/>
        </w:rPr>
        <w:t>it does</w:t>
      </w:r>
      <w:r w:rsidR="00351F73" w:rsidRPr="000B45F2">
        <w:rPr>
          <w:bCs/>
        </w:rPr>
        <w:t xml:space="preserve"> capture the platitude that our desires have deontic weight</w:t>
      </w:r>
      <w:r w:rsidR="00961257" w:rsidRPr="000B45F2">
        <w:rPr>
          <w:bCs/>
        </w:rPr>
        <w:t xml:space="preserve"> whether they concern </w:t>
      </w:r>
      <w:r w:rsidR="009D37C7" w:rsidRPr="000B45F2">
        <w:rPr>
          <w:bCs/>
        </w:rPr>
        <w:t>trivial dessert choices or</w:t>
      </w:r>
      <w:r w:rsidR="00503EAD" w:rsidRPr="000B45F2">
        <w:rPr>
          <w:bCs/>
        </w:rPr>
        <w:t xml:space="preserve"> something</w:t>
      </w:r>
      <w:r w:rsidR="00EA5982" w:rsidRPr="000B45F2">
        <w:rPr>
          <w:bCs/>
        </w:rPr>
        <w:t xml:space="preserve"> more</w:t>
      </w:r>
      <w:r w:rsidR="00503EAD" w:rsidRPr="000B45F2">
        <w:rPr>
          <w:bCs/>
        </w:rPr>
        <w:t xml:space="preserve"> substantive such as</w:t>
      </w:r>
      <w:r w:rsidR="006945DA" w:rsidRPr="000B45F2">
        <w:rPr>
          <w:bCs/>
        </w:rPr>
        <w:t xml:space="preserve"> </w:t>
      </w:r>
      <w:r w:rsidR="002B0CF8" w:rsidRPr="000B45F2">
        <w:rPr>
          <w:bCs/>
        </w:rPr>
        <w:t>desiring one’s flourishing or the flourishing of another.</w:t>
      </w:r>
    </w:p>
    <w:p w14:paraId="0327F1AB" w14:textId="5B9F5CD3" w:rsidR="00F541FC" w:rsidRPr="000B45F2" w:rsidRDefault="00E434F6" w:rsidP="00880ACB">
      <w:pPr>
        <w:jc w:val="both"/>
        <w:rPr>
          <w:bCs/>
        </w:rPr>
      </w:pPr>
      <w:r w:rsidRPr="000B45F2">
        <w:rPr>
          <w:bCs/>
        </w:rPr>
        <w:t>In principle, we</w:t>
      </w:r>
      <w:r w:rsidR="004D1B27" w:rsidRPr="000B45F2">
        <w:rPr>
          <w:bCs/>
        </w:rPr>
        <w:t xml:space="preserve"> can appeal to proportionalism to explain all three cases</w:t>
      </w:r>
      <w:r w:rsidRPr="000B45F2">
        <w:rPr>
          <w:bCs/>
        </w:rPr>
        <w:t xml:space="preserve">. Depending on whether </w:t>
      </w:r>
      <w:r w:rsidR="00B4758F" w:rsidRPr="000B45F2">
        <w:rPr>
          <w:bCs/>
        </w:rPr>
        <w:t>and to what extend we</w:t>
      </w:r>
      <w:r w:rsidRPr="000B45F2">
        <w:rPr>
          <w:bCs/>
        </w:rPr>
        <w:t xml:space="preserve"> desire </w:t>
      </w:r>
      <w:r w:rsidR="00F45F72" w:rsidRPr="000B45F2">
        <w:rPr>
          <w:bCs/>
        </w:rPr>
        <w:t>outcomes</w:t>
      </w:r>
      <w:r w:rsidR="00B4758F" w:rsidRPr="000B45F2">
        <w:rPr>
          <w:bCs/>
        </w:rPr>
        <w:t xml:space="preserve">, </w:t>
      </w:r>
      <w:r w:rsidR="00EB44FB" w:rsidRPr="000B45F2">
        <w:rPr>
          <w:bCs/>
        </w:rPr>
        <w:t xml:space="preserve">we have the ability to obligate or not obligate ourselves in any number of ways. </w:t>
      </w:r>
      <w:r w:rsidR="007544C8" w:rsidRPr="000B45F2">
        <w:rPr>
          <w:bCs/>
        </w:rPr>
        <w:t>In</w:t>
      </w:r>
      <w:r w:rsidR="0045299F" w:rsidRPr="000B45F2">
        <w:rPr>
          <w:bCs/>
        </w:rPr>
        <w:t xml:space="preserve"> </w:t>
      </w:r>
      <w:r w:rsidR="007544C8" w:rsidRPr="000B45F2">
        <w:rPr>
          <w:bCs/>
        </w:rPr>
        <w:t xml:space="preserve">trivial </w:t>
      </w:r>
      <w:r w:rsidR="00A80AFB" w:rsidRPr="000B45F2">
        <w:rPr>
          <w:bCs/>
        </w:rPr>
        <w:t xml:space="preserve">prudence cases </w:t>
      </w:r>
      <w:r w:rsidR="007544C8" w:rsidRPr="000B45F2">
        <w:rPr>
          <w:bCs/>
        </w:rPr>
        <w:t xml:space="preserve">such as Exercise or Couch, the present strategy </w:t>
      </w:r>
      <w:r w:rsidR="0045299F" w:rsidRPr="000B45F2">
        <w:rPr>
          <w:bCs/>
        </w:rPr>
        <w:t>is plausible</w:t>
      </w:r>
      <w:r w:rsidR="00C20CA6" w:rsidRPr="000B45F2">
        <w:rPr>
          <w:bCs/>
        </w:rPr>
        <w:t xml:space="preserve"> (on the controversial assumption that desires are under our control in the first place)</w:t>
      </w:r>
      <w:r w:rsidR="007544C8" w:rsidRPr="000B45F2">
        <w:rPr>
          <w:bCs/>
        </w:rPr>
        <w:t>.</w:t>
      </w:r>
      <w:r w:rsidR="00C20CA6" w:rsidRPr="000B45F2">
        <w:rPr>
          <w:rStyle w:val="FootnoteReference"/>
          <w:bCs/>
        </w:rPr>
        <w:footnoteReference w:id="23"/>
      </w:r>
      <w:r w:rsidR="007544C8" w:rsidRPr="000B45F2">
        <w:rPr>
          <w:bCs/>
        </w:rPr>
        <w:t xml:space="preserve"> However, the present strategy is far less plausible in </w:t>
      </w:r>
      <w:r w:rsidR="00306A53" w:rsidRPr="000B45F2">
        <w:rPr>
          <w:bCs/>
        </w:rPr>
        <w:t>My Arm</w:t>
      </w:r>
      <w:r w:rsidR="007544C8" w:rsidRPr="000B45F2">
        <w:rPr>
          <w:bCs/>
        </w:rPr>
        <w:t xml:space="preserve"> and </w:t>
      </w:r>
      <w:r w:rsidR="00306A53" w:rsidRPr="000B45F2">
        <w:rPr>
          <w:bCs/>
        </w:rPr>
        <w:t>Your Arm</w:t>
      </w:r>
      <w:r w:rsidR="007544C8" w:rsidRPr="000B45F2">
        <w:rPr>
          <w:bCs/>
        </w:rPr>
        <w:t xml:space="preserve">. </w:t>
      </w:r>
      <w:r w:rsidR="00A80AFB" w:rsidRPr="000B45F2">
        <w:rPr>
          <w:bCs/>
        </w:rPr>
        <w:t>We can grant that my desire to</w:t>
      </w:r>
      <w:r w:rsidR="007544C8" w:rsidRPr="000B45F2">
        <w:rPr>
          <w:bCs/>
        </w:rPr>
        <w:t xml:space="preserve"> preserve my own arm provides additional deontic weight against sacrificing it for a stranger’s arm. However, as noted, there are limits. No matter how strongly I</w:t>
      </w:r>
      <w:r w:rsidR="00EA6C03" w:rsidRPr="000B45F2">
        <w:rPr>
          <w:bCs/>
        </w:rPr>
        <w:t xml:space="preserve"> increase the</w:t>
      </w:r>
      <w:r w:rsidR="007544C8" w:rsidRPr="000B45F2">
        <w:rPr>
          <w:bCs/>
        </w:rPr>
        <w:t xml:space="preserve"> desire to </w:t>
      </w:r>
      <w:r w:rsidR="00D8096E" w:rsidRPr="000B45F2">
        <w:rPr>
          <w:bCs/>
        </w:rPr>
        <w:t>preserve</w:t>
      </w:r>
      <w:r w:rsidR="007544C8" w:rsidRPr="000B45F2">
        <w:rPr>
          <w:bCs/>
        </w:rPr>
        <w:t xml:space="preserve"> my own arm, few would accept that th</w:t>
      </w:r>
      <w:r w:rsidR="00EA6C03" w:rsidRPr="000B45F2">
        <w:rPr>
          <w:bCs/>
        </w:rPr>
        <w:t>is</w:t>
      </w:r>
      <w:r w:rsidR="00A80AFB" w:rsidRPr="000B45F2">
        <w:rPr>
          <w:bCs/>
        </w:rPr>
        <w:t xml:space="preserve"> desire alone</w:t>
      </w:r>
      <w:r w:rsidR="007544C8" w:rsidRPr="000B45F2">
        <w:rPr>
          <w:bCs/>
        </w:rPr>
        <w:t xml:space="preserve"> provides enough deontic weight to outweigh sacrificing the arm for the arm of three strangers.</w:t>
      </w:r>
      <w:r w:rsidR="00E22FB7" w:rsidRPr="000B45F2">
        <w:rPr>
          <w:bCs/>
        </w:rPr>
        <w:t xml:space="preserve"> </w:t>
      </w:r>
      <w:r w:rsidR="009762E0" w:rsidRPr="000B45F2">
        <w:rPr>
          <w:bCs/>
        </w:rPr>
        <w:t>The strangers presumably</w:t>
      </w:r>
      <w:r w:rsidR="00E22FB7" w:rsidRPr="000B45F2">
        <w:rPr>
          <w:bCs/>
        </w:rPr>
        <w:t xml:space="preserve"> have the same desires. </w:t>
      </w:r>
      <w:r w:rsidR="00A9301B" w:rsidRPr="000B45F2">
        <w:rPr>
          <w:bCs/>
        </w:rPr>
        <w:t>Likewise, my desires to inflict or not inflict harm and my desires for your well-being will only have limited deontic weight compared to the deontic weight of three arm maimings</w:t>
      </w:r>
      <w:r w:rsidR="00F541FC" w:rsidRPr="000B45F2">
        <w:rPr>
          <w:bCs/>
        </w:rPr>
        <w:t>.</w:t>
      </w:r>
      <w:r w:rsidR="00EF29A7" w:rsidRPr="000B45F2">
        <w:rPr>
          <w:bCs/>
        </w:rPr>
        <w:t xml:space="preserve"> In fact, a desire to inflict harm on others plausibly has no deontic weight.</w:t>
      </w:r>
      <w:r w:rsidR="002B5E55" w:rsidRPr="000B45F2">
        <w:rPr>
          <w:rStyle w:val="FootnoteReference"/>
          <w:bCs/>
        </w:rPr>
        <w:footnoteReference w:id="24"/>
      </w:r>
      <w:r w:rsidR="00EF29A7" w:rsidRPr="000B45F2">
        <w:rPr>
          <w:bCs/>
        </w:rPr>
        <w:t xml:space="preserve"> Lastly, the restriction against pushing the button in </w:t>
      </w:r>
      <w:r w:rsidR="00306A53" w:rsidRPr="000B45F2">
        <w:rPr>
          <w:bCs/>
        </w:rPr>
        <w:t>Your Arm</w:t>
      </w:r>
      <w:r w:rsidR="00EF29A7" w:rsidRPr="000B45F2">
        <w:rPr>
          <w:bCs/>
        </w:rPr>
        <w:t xml:space="preserve"> intuitively has nothing to do with </w:t>
      </w:r>
      <w:r w:rsidR="00EF29A7" w:rsidRPr="000B45F2">
        <w:rPr>
          <w:bCs/>
          <w:i/>
          <w:iCs/>
        </w:rPr>
        <w:t>my</w:t>
      </w:r>
      <w:r w:rsidR="00EF29A7" w:rsidRPr="000B45F2">
        <w:rPr>
          <w:bCs/>
        </w:rPr>
        <w:t xml:space="preserve"> desires. Instead, </w:t>
      </w:r>
      <w:r w:rsidR="002B5E55" w:rsidRPr="000B45F2">
        <w:rPr>
          <w:bCs/>
        </w:rPr>
        <w:t>if the restriction is</w:t>
      </w:r>
      <w:r w:rsidR="00EF29A7" w:rsidRPr="000B45F2">
        <w:rPr>
          <w:bCs/>
        </w:rPr>
        <w:t xml:space="preserve"> grounded in desires at all, </w:t>
      </w:r>
      <w:r w:rsidR="00EF29A7" w:rsidRPr="000B45F2">
        <w:rPr>
          <w:bCs/>
        </w:rPr>
        <w:lastRenderedPageBreak/>
        <w:t xml:space="preserve">they will plausibly depend on </w:t>
      </w:r>
      <w:r w:rsidR="00EF29A7" w:rsidRPr="000B45F2">
        <w:rPr>
          <w:bCs/>
          <w:i/>
          <w:iCs/>
        </w:rPr>
        <w:t xml:space="preserve">your </w:t>
      </w:r>
      <w:r w:rsidR="00EF29A7" w:rsidRPr="000B45F2">
        <w:rPr>
          <w:bCs/>
        </w:rPr>
        <w:t>desires</w:t>
      </w:r>
      <w:r w:rsidR="002B5E55" w:rsidRPr="000B45F2">
        <w:rPr>
          <w:bCs/>
        </w:rPr>
        <w:t xml:space="preserve"> – desires that are irrelevant for determining what reasons </w:t>
      </w:r>
      <w:r w:rsidR="002B5E55" w:rsidRPr="000B45F2">
        <w:rPr>
          <w:bCs/>
          <w:i/>
          <w:iCs/>
        </w:rPr>
        <w:t xml:space="preserve">I </w:t>
      </w:r>
      <w:r w:rsidR="002B5E55" w:rsidRPr="000B45F2">
        <w:rPr>
          <w:bCs/>
        </w:rPr>
        <w:t xml:space="preserve">have according to </w:t>
      </w:r>
      <w:r w:rsidR="00D8096E" w:rsidRPr="000B45F2">
        <w:rPr>
          <w:bCs/>
          <w:i/>
          <w:iCs/>
        </w:rPr>
        <w:t>standard</w:t>
      </w:r>
      <w:r w:rsidR="003269D6" w:rsidRPr="000B45F2">
        <w:rPr>
          <w:bCs/>
        </w:rPr>
        <w:t xml:space="preserve"> Humean</w:t>
      </w:r>
      <w:r w:rsidR="00D8096E" w:rsidRPr="000B45F2">
        <w:rPr>
          <w:bCs/>
        </w:rPr>
        <w:t xml:space="preserve"> </w:t>
      </w:r>
      <w:r w:rsidR="002B5E55" w:rsidRPr="000B45F2">
        <w:rPr>
          <w:bCs/>
        </w:rPr>
        <w:t>proportionalis</w:t>
      </w:r>
      <w:r w:rsidR="0045299F" w:rsidRPr="000B45F2">
        <w:rPr>
          <w:bCs/>
        </w:rPr>
        <w:t>m</w:t>
      </w:r>
      <w:r w:rsidR="002B5E55" w:rsidRPr="000B45F2">
        <w:rPr>
          <w:bCs/>
        </w:rPr>
        <w:t>.</w:t>
      </w:r>
      <w:r w:rsidR="00A419DD" w:rsidRPr="000B45F2">
        <w:rPr>
          <w:rStyle w:val="FootnoteReference"/>
          <w:bCs/>
        </w:rPr>
        <w:footnoteReference w:id="25"/>
      </w:r>
    </w:p>
    <w:p w14:paraId="21D8DCC8" w14:textId="68A8CC83" w:rsidR="004E1C88" w:rsidRPr="000B45F2" w:rsidRDefault="004D1B27" w:rsidP="00880ACB">
      <w:pPr>
        <w:jc w:val="both"/>
        <w:rPr>
          <w:bCs/>
        </w:rPr>
      </w:pPr>
      <w:r w:rsidRPr="000B45F2">
        <w:rPr>
          <w:bCs/>
        </w:rPr>
        <w:t xml:space="preserve">Another option </w:t>
      </w:r>
      <w:r w:rsidR="0045299F" w:rsidRPr="000B45F2">
        <w:rPr>
          <w:bCs/>
        </w:rPr>
        <w:t xml:space="preserve">is to consider whether we can directly </w:t>
      </w:r>
      <w:r w:rsidR="0062665F" w:rsidRPr="000B45F2">
        <w:rPr>
          <w:bCs/>
        </w:rPr>
        <w:t>alter</w:t>
      </w:r>
      <w:r w:rsidR="0045299F" w:rsidRPr="000B45F2">
        <w:rPr>
          <w:bCs/>
        </w:rPr>
        <w:t xml:space="preserve"> the </w:t>
      </w:r>
      <w:r w:rsidR="00B0765D" w:rsidRPr="000B45F2">
        <w:rPr>
          <w:bCs/>
        </w:rPr>
        <w:t>deontic weight supporting an action</w:t>
      </w:r>
      <w:r w:rsidR="0045299F" w:rsidRPr="000B45F2">
        <w:rPr>
          <w:bCs/>
        </w:rPr>
        <w:t xml:space="preserve"> by altering the value of the outcome</w:t>
      </w:r>
      <w:r w:rsidR="00B0765D" w:rsidRPr="000B45F2">
        <w:rPr>
          <w:bCs/>
        </w:rPr>
        <w:t xml:space="preserve"> that is realized by that action. For example, Maguire (201</w:t>
      </w:r>
      <w:r w:rsidR="00984411" w:rsidRPr="000B45F2">
        <w:rPr>
          <w:bCs/>
        </w:rPr>
        <w:t>7</w:t>
      </w:r>
      <w:r w:rsidR="00B0765D" w:rsidRPr="000B45F2">
        <w:rPr>
          <w:bCs/>
        </w:rPr>
        <w:t xml:space="preserve">) points out that engaging in a loving relationship with someone is itself valuable. In virtue of this value, the deontic weight that supports </w:t>
      </w:r>
      <w:r w:rsidR="00FB0461" w:rsidRPr="000B45F2">
        <w:rPr>
          <w:bCs/>
        </w:rPr>
        <w:t xml:space="preserve">favoring one’s </w:t>
      </w:r>
      <w:r w:rsidR="00B0765D" w:rsidRPr="000B45F2">
        <w:rPr>
          <w:bCs/>
        </w:rPr>
        <w:t>beloved will typically</w:t>
      </w:r>
      <w:r w:rsidR="0062665F" w:rsidRPr="000B45F2">
        <w:rPr>
          <w:bCs/>
        </w:rPr>
        <w:t xml:space="preserve"> outweigh </w:t>
      </w:r>
      <w:r w:rsidR="00FB0461" w:rsidRPr="000B45F2">
        <w:rPr>
          <w:bCs/>
        </w:rPr>
        <w:t xml:space="preserve">aiding a </w:t>
      </w:r>
      <w:r w:rsidR="0062665F" w:rsidRPr="000B45F2">
        <w:rPr>
          <w:bCs/>
        </w:rPr>
        <w:t xml:space="preserve">stranger. Likewise, another way of viewing the deontic import of commitments and special projects is that engaging in them produces objectively valuable states of affairs. It is implausible to deny that we do have this ability to generate value. The problem is that our ability to create such values </w:t>
      </w:r>
      <w:r w:rsidR="002C1282">
        <w:rPr>
          <w:bCs/>
        </w:rPr>
        <w:t>typically</w:t>
      </w:r>
      <w:r w:rsidR="00F367B3" w:rsidRPr="000B45F2">
        <w:rPr>
          <w:bCs/>
        </w:rPr>
        <w:t xml:space="preserve"> </w:t>
      </w:r>
      <w:r w:rsidR="00B171FF" w:rsidRPr="000B45F2">
        <w:rPr>
          <w:bCs/>
        </w:rPr>
        <w:t>arrives too</w:t>
      </w:r>
      <w:r w:rsidR="0062665F" w:rsidRPr="000B45F2">
        <w:rPr>
          <w:bCs/>
        </w:rPr>
        <w:t xml:space="preserve"> late to help us </w:t>
      </w:r>
      <w:r w:rsidR="006403C7" w:rsidRPr="000B45F2">
        <w:rPr>
          <w:bCs/>
        </w:rPr>
        <w:t xml:space="preserve">account for </w:t>
      </w:r>
      <w:r w:rsidR="007B4575">
        <w:rPr>
          <w:bCs/>
        </w:rPr>
        <w:t>these cases.</w:t>
      </w:r>
    </w:p>
    <w:p w14:paraId="51214A42" w14:textId="68570E6B" w:rsidR="0062665F" w:rsidRPr="000B45F2" w:rsidRDefault="0062665F" w:rsidP="00880ACB">
      <w:pPr>
        <w:jc w:val="both"/>
        <w:rPr>
          <w:bCs/>
        </w:rPr>
      </w:pPr>
      <w:r w:rsidRPr="000B45F2">
        <w:rPr>
          <w:bCs/>
        </w:rPr>
        <w:t>For example, in Exercise or Couch</w:t>
      </w:r>
      <w:r w:rsidR="0083496C" w:rsidRPr="000B45F2">
        <w:rPr>
          <w:bCs/>
        </w:rPr>
        <w:t xml:space="preserve">, we cannot suddenly make staying on the couch more valuable than exercising by an immediate commitment to staying on the couch. </w:t>
      </w:r>
      <w:r w:rsidR="00B171FF" w:rsidRPr="000B45F2">
        <w:rPr>
          <w:bCs/>
        </w:rPr>
        <w:t>On the other hand, m</w:t>
      </w:r>
      <w:r w:rsidR="009F38E3" w:rsidRPr="000B45F2">
        <w:rPr>
          <w:bCs/>
        </w:rPr>
        <w:t>aybe there is some value to adopting a long-term project of being a couch potato that could outweigh the value of exercising. But</w:t>
      </w:r>
      <w:r w:rsidR="009762E0" w:rsidRPr="000B45F2">
        <w:rPr>
          <w:bCs/>
        </w:rPr>
        <w:t xml:space="preserve"> even</w:t>
      </w:r>
      <w:r w:rsidR="009F38E3" w:rsidRPr="000B45F2">
        <w:rPr>
          <w:bCs/>
        </w:rPr>
        <w:t xml:space="preserve"> </w:t>
      </w:r>
      <w:r w:rsidR="009762E0" w:rsidRPr="000B45F2">
        <w:rPr>
          <w:bCs/>
        </w:rPr>
        <w:t xml:space="preserve">if we do </w:t>
      </w:r>
      <w:r w:rsidR="009F38E3" w:rsidRPr="000B45F2">
        <w:rPr>
          <w:bCs/>
        </w:rPr>
        <w:t>gran</w:t>
      </w:r>
      <w:r w:rsidR="009762E0" w:rsidRPr="000B45F2">
        <w:rPr>
          <w:bCs/>
        </w:rPr>
        <w:t>t</w:t>
      </w:r>
      <w:r w:rsidR="009F38E3" w:rsidRPr="000B45F2">
        <w:rPr>
          <w:bCs/>
        </w:rPr>
        <w:t xml:space="preserve"> this implausible assumption, we no</w:t>
      </w:r>
      <w:r w:rsidR="009762E0" w:rsidRPr="000B45F2">
        <w:rPr>
          <w:bCs/>
        </w:rPr>
        <w:t>w no</w:t>
      </w:r>
      <w:r w:rsidR="009F38E3" w:rsidRPr="000B45F2">
        <w:rPr>
          <w:bCs/>
        </w:rPr>
        <w:t xml:space="preserve"> longer have an option anymore once this value is accounted for – we ought to </w:t>
      </w:r>
      <w:r w:rsidR="003E2A93" w:rsidRPr="000B45F2">
        <w:rPr>
          <w:bCs/>
        </w:rPr>
        <w:t xml:space="preserve">now </w:t>
      </w:r>
      <w:r w:rsidR="009F38E3" w:rsidRPr="000B45F2">
        <w:rPr>
          <w:bCs/>
        </w:rPr>
        <w:t xml:space="preserve">stay on the couch. Yet, we intuitively want to say that </w:t>
      </w:r>
      <w:r w:rsidR="00B171FF" w:rsidRPr="000B45F2">
        <w:rPr>
          <w:bCs/>
        </w:rPr>
        <w:t xml:space="preserve">both </w:t>
      </w:r>
      <w:r w:rsidR="009F38E3" w:rsidRPr="000B45F2">
        <w:rPr>
          <w:bCs/>
        </w:rPr>
        <w:t xml:space="preserve">exercising or staying on the couch </w:t>
      </w:r>
      <w:r w:rsidR="00A20C50" w:rsidRPr="000B45F2">
        <w:rPr>
          <w:bCs/>
        </w:rPr>
        <w:t>are</w:t>
      </w:r>
      <w:r w:rsidR="009F38E3" w:rsidRPr="000B45F2">
        <w:rPr>
          <w:bCs/>
        </w:rPr>
        <w:t xml:space="preserve"> permissible.</w:t>
      </w:r>
    </w:p>
    <w:p w14:paraId="46B921E1" w14:textId="630E75F8" w:rsidR="00F818F7" w:rsidRPr="000B45F2" w:rsidRDefault="00F818F7" w:rsidP="00880ACB">
      <w:pPr>
        <w:jc w:val="both"/>
        <w:rPr>
          <w:bCs/>
        </w:rPr>
      </w:pPr>
      <w:r w:rsidRPr="000B45F2">
        <w:rPr>
          <w:bCs/>
        </w:rPr>
        <w:t xml:space="preserve">Now consider </w:t>
      </w:r>
      <w:r w:rsidR="00306A53" w:rsidRPr="000B45F2">
        <w:rPr>
          <w:bCs/>
        </w:rPr>
        <w:t>My Arm</w:t>
      </w:r>
      <w:r w:rsidR="00436AD3" w:rsidRPr="000B45F2">
        <w:rPr>
          <w:bCs/>
        </w:rPr>
        <w:t xml:space="preserve"> and </w:t>
      </w:r>
      <w:r w:rsidR="00306A53" w:rsidRPr="000B45F2">
        <w:rPr>
          <w:bCs/>
        </w:rPr>
        <w:t>Your Arm</w:t>
      </w:r>
      <w:r w:rsidR="00436AD3" w:rsidRPr="000B45F2">
        <w:rPr>
          <w:bCs/>
        </w:rPr>
        <w:t>.</w:t>
      </w:r>
      <w:r w:rsidR="00264A98" w:rsidRPr="000B45F2">
        <w:rPr>
          <w:bCs/>
        </w:rPr>
        <w:t xml:space="preserve"> </w:t>
      </w:r>
      <w:r w:rsidRPr="000B45F2">
        <w:rPr>
          <w:bCs/>
        </w:rPr>
        <w:t>We c</w:t>
      </w:r>
      <w:r w:rsidR="00A2126D" w:rsidRPr="000B45F2">
        <w:rPr>
          <w:bCs/>
        </w:rPr>
        <w:t xml:space="preserve">ould try </w:t>
      </w:r>
      <w:r w:rsidR="008C5D19" w:rsidRPr="000B45F2">
        <w:rPr>
          <w:bCs/>
        </w:rPr>
        <w:t>explaining</w:t>
      </w:r>
      <w:r w:rsidRPr="000B45F2">
        <w:rPr>
          <w:bCs/>
        </w:rPr>
        <w:t xml:space="preserve"> </w:t>
      </w:r>
      <w:r w:rsidR="00306A53" w:rsidRPr="000B45F2">
        <w:rPr>
          <w:bCs/>
        </w:rPr>
        <w:t>Your Arm</w:t>
      </w:r>
      <w:r w:rsidRPr="000B45F2">
        <w:rPr>
          <w:bCs/>
        </w:rPr>
        <w:t xml:space="preserve"> </w:t>
      </w:r>
      <w:r w:rsidR="008C5D19" w:rsidRPr="000B45F2">
        <w:rPr>
          <w:bCs/>
        </w:rPr>
        <w:t>as follows. Suppose I</w:t>
      </w:r>
      <w:r w:rsidR="00962330" w:rsidRPr="000B45F2">
        <w:rPr>
          <w:bCs/>
        </w:rPr>
        <w:t xml:space="preserve"> have</w:t>
      </w:r>
      <w:r w:rsidRPr="000B45F2">
        <w:rPr>
          <w:bCs/>
        </w:rPr>
        <w:t xml:space="preserve"> commi</w:t>
      </w:r>
      <w:r w:rsidR="008C5D19" w:rsidRPr="000B45F2">
        <w:rPr>
          <w:bCs/>
        </w:rPr>
        <w:t>t</w:t>
      </w:r>
      <w:r w:rsidR="00962330" w:rsidRPr="000B45F2">
        <w:rPr>
          <w:bCs/>
        </w:rPr>
        <w:t>ted</w:t>
      </w:r>
      <w:r w:rsidRPr="000B45F2">
        <w:rPr>
          <w:bCs/>
        </w:rPr>
        <w:t xml:space="preserve"> to refraining from harming others</w:t>
      </w:r>
      <w:r w:rsidR="00C96A7A" w:rsidRPr="000B45F2">
        <w:rPr>
          <w:bCs/>
        </w:rPr>
        <w:t xml:space="preserve">. Perhaps </w:t>
      </w:r>
      <w:r w:rsidR="002D11BB" w:rsidRPr="000B45F2">
        <w:rPr>
          <w:bCs/>
        </w:rPr>
        <w:t>following through with this</w:t>
      </w:r>
      <w:r w:rsidR="00C96A7A" w:rsidRPr="000B45F2">
        <w:rPr>
          <w:bCs/>
        </w:rPr>
        <w:t xml:space="preserve"> commitment</w:t>
      </w:r>
      <w:r w:rsidR="002D11BB" w:rsidRPr="000B45F2">
        <w:rPr>
          <w:bCs/>
        </w:rPr>
        <w:t xml:space="preserve"> is actually valuable and</w:t>
      </w:r>
      <w:r w:rsidR="00C96A7A" w:rsidRPr="000B45F2">
        <w:rPr>
          <w:bCs/>
        </w:rPr>
        <w:t xml:space="preserve"> </w:t>
      </w:r>
      <w:r w:rsidRPr="000B45F2">
        <w:rPr>
          <w:bCs/>
        </w:rPr>
        <w:t xml:space="preserve">makes refraining from pushing the button more valuable than preventing three maimings. </w:t>
      </w:r>
      <w:r w:rsidR="009762E0" w:rsidRPr="000B45F2">
        <w:rPr>
          <w:bCs/>
        </w:rPr>
        <w:t>But again,</w:t>
      </w:r>
      <w:r w:rsidRPr="000B45F2">
        <w:rPr>
          <w:bCs/>
        </w:rPr>
        <w:t xml:space="preserve"> </w:t>
      </w:r>
      <w:r w:rsidR="00C96A7A" w:rsidRPr="000B45F2">
        <w:rPr>
          <w:bCs/>
        </w:rPr>
        <w:t xml:space="preserve">even if we grant this </w:t>
      </w:r>
      <w:r w:rsidR="009918F4" w:rsidRPr="000B45F2">
        <w:rPr>
          <w:bCs/>
        </w:rPr>
        <w:t>assumption (which is controversial</w:t>
      </w:r>
      <w:r w:rsidR="00962330" w:rsidRPr="000B45F2">
        <w:rPr>
          <w:bCs/>
        </w:rPr>
        <w:t xml:space="preserve">), </w:t>
      </w:r>
      <w:r w:rsidR="009762E0" w:rsidRPr="000B45F2">
        <w:rPr>
          <w:bCs/>
        </w:rPr>
        <w:t>this is not a</w:t>
      </w:r>
      <w:r w:rsidRPr="000B45F2">
        <w:rPr>
          <w:bCs/>
        </w:rPr>
        <w:t xml:space="preserve"> value that I can</w:t>
      </w:r>
      <w:r w:rsidR="00C96A7A" w:rsidRPr="000B45F2">
        <w:rPr>
          <w:bCs/>
        </w:rPr>
        <w:t xml:space="preserve"> just</w:t>
      </w:r>
      <w:r w:rsidRPr="000B45F2">
        <w:rPr>
          <w:bCs/>
        </w:rPr>
        <w:t xml:space="preserve"> immediately create to justify the restriction.</w:t>
      </w:r>
      <w:r w:rsidR="009918F4" w:rsidRPr="000B45F2">
        <w:rPr>
          <w:bCs/>
        </w:rPr>
        <w:t xml:space="preserve"> </w:t>
      </w:r>
      <w:r w:rsidR="00962330" w:rsidRPr="000B45F2">
        <w:rPr>
          <w:bCs/>
        </w:rPr>
        <w:t>If the commitment were to have this value, it cannot just be something that I have suddenly adopted to justify my present action</w:t>
      </w:r>
      <w:r w:rsidR="00A2126D" w:rsidRPr="000B45F2">
        <w:rPr>
          <w:bCs/>
        </w:rPr>
        <w:t>.</w:t>
      </w:r>
      <w:r w:rsidR="00962330" w:rsidRPr="000B45F2">
        <w:rPr>
          <w:bCs/>
        </w:rPr>
        <w:t xml:space="preserve"> Instead, it must have been a long-standing commitment that I have honored up until this point.</w:t>
      </w:r>
      <w:r w:rsidR="00A2126D" w:rsidRPr="000B45F2">
        <w:rPr>
          <w:bCs/>
        </w:rPr>
        <w:t xml:space="preserve"> Furthermore, the present explanation of the restriction gets things backwards. Rather than a fact about me (e.g.</w:t>
      </w:r>
      <w:r w:rsidR="00965109">
        <w:rPr>
          <w:bCs/>
        </w:rPr>
        <w:t>,</w:t>
      </w:r>
      <w:r w:rsidR="00A2126D" w:rsidRPr="000B45F2">
        <w:rPr>
          <w:bCs/>
        </w:rPr>
        <w:t xml:space="preserve"> a commitment to refraining from harm), what plausibly explains the restriction is </w:t>
      </w:r>
      <w:r w:rsidR="00C95580" w:rsidRPr="000B45F2">
        <w:rPr>
          <w:bCs/>
        </w:rPr>
        <w:t>a fact about you (e.g.</w:t>
      </w:r>
      <w:r w:rsidR="00856A39">
        <w:rPr>
          <w:bCs/>
        </w:rPr>
        <w:t>,</w:t>
      </w:r>
      <w:r w:rsidR="00C95580" w:rsidRPr="000B45F2">
        <w:rPr>
          <w:bCs/>
        </w:rPr>
        <w:t xml:space="preserve"> that you will be losing your arm unwillingly).</w:t>
      </w:r>
    </w:p>
    <w:p w14:paraId="5581CD7C" w14:textId="4B70285A" w:rsidR="00264A98" w:rsidRPr="000B45F2" w:rsidRDefault="00306A53" w:rsidP="00880ACB">
      <w:pPr>
        <w:jc w:val="both"/>
        <w:rPr>
          <w:bCs/>
        </w:rPr>
      </w:pPr>
      <w:r w:rsidRPr="000B45F2">
        <w:rPr>
          <w:bCs/>
        </w:rPr>
        <w:t>My Arm</w:t>
      </w:r>
      <w:r w:rsidR="00F818F7" w:rsidRPr="000B45F2">
        <w:rPr>
          <w:bCs/>
        </w:rPr>
        <w:t xml:space="preserve"> is even harder to accommodate. </w:t>
      </w:r>
      <w:r w:rsidR="00264A98" w:rsidRPr="000B45F2">
        <w:rPr>
          <w:bCs/>
        </w:rPr>
        <w:t xml:space="preserve">In the case of </w:t>
      </w:r>
      <w:r w:rsidRPr="000B45F2">
        <w:rPr>
          <w:bCs/>
        </w:rPr>
        <w:t>My Arm</w:t>
      </w:r>
      <w:r w:rsidR="00264A98" w:rsidRPr="000B45F2">
        <w:rPr>
          <w:bCs/>
        </w:rPr>
        <w:t xml:space="preserve">, suppose that </w:t>
      </w:r>
      <w:r w:rsidR="00DB046E" w:rsidRPr="000B45F2">
        <w:rPr>
          <w:bCs/>
        </w:rPr>
        <w:t xml:space="preserve">over time, I have made my arm </w:t>
      </w:r>
      <w:r w:rsidR="00264A98" w:rsidRPr="000B45F2">
        <w:rPr>
          <w:bCs/>
        </w:rPr>
        <w:t>extremely valuable (e.g.</w:t>
      </w:r>
      <w:r w:rsidR="00C66A80">
        <w:rPr>
          <w:bCs/>
        </w:rPr>
        <w:t>,</w:t>
      </w:r>
      <w:r w:rsidR="00264A98" w:rsidRPr="000B45F2">
        <w:rPr>
          <w:bCs/>
        </w:rPr>
        <w:t xml:space="preserve"> </w:t>
      </w:r>
      <w:r w:rsidR="00DB046E" w:rsidRPr="000B45F2">
        <w:rPr>
          <w:bCs/>
        </w:rPr>
        <w:t xml:space="preserve">through practice, </w:t>
      </w:r>
      <w:r w:rsidR="00264A98" w:rsidRPr="000B45F2">
        <w:rPr>
          <w:bCs/>
        </w:rPr>
        <w:t>I</w:t>
      </w:r>
      <w:r w:rsidR="009918F4" w:rsidRPr="000B45F2">
        <w:rPr>
          <w:bCs/>
        </w:rPr>
        <w:t xml:space="preserve"> am</w:t>
      </w:r>
      <w:r w:rsidR="00264A98" w:rsidRPr="000B45F2">
        <w:rPr>
          <w:bCs/>
        </w:rPr>
        <w:t xml:space="preserve"> </w:t>
      </w:r>
      <w:r w:rsidR="00DB046E" w:rsidRPr="000B45F2">
        <w:rPr>
          <w:bCs/>
        </w:rPr>
        <w:t xml:space="preserve">now a </w:t>
      </w:r>
      <w:r w:rsidR="00264A98" w:rsidRPr="000B45F2">
        <w:rPr>
          <w:bCs/>
        </w:rPr>
        <w:t xml:space="preserve">great guitarist providing pleasure to </w:t>
      </w:r>
      <w:r w:rsidR="00264A98" w:rsidRPr="000B45F2">
        <w:rPr>
          <w:bCs/>
        </w:rPr>
        <w:lastRenderedPageBreak/>
        <w:t>millions). Suppose the value of my arm</w:t>
      </w:r>
      <w:r w:rsidR="000B0C3F" w:rsidRPr="000B45F2">
        <w:rPr>
          <w:bCs/>
        </w:rPr>
        <w:t xml:space="preserve"> deontically</w:t>
      </w:r>
      <w:r w:rsidR="00264A98" w:rsidRPr="000B45F2">
        <w:rPr>
          <w:bCs/>
        </w:rPr>
        <w:t xml:space="preserve"> </w:t>
      </w:r>
      <w:r w:rsidR="000B0C3F" w:rsidRPr="000B45F2">
        <w:rPr>
          <w:bCs/>
        </w:rPr>
        <w:t xml:space="preserve">supports preserving it over sacrificing it for the </w:t>
      </w:r>
      <w:r w:rsidR="00264A98" w:rsidRPr="000B45F2">
        <w:rPr>
          <w:bCs/>
        </w:rPr>
        <w:t xml:space="preserve">three strangers’ arms. While this preserves the intuition that I am permitted to keep my arm, </w:t>
      </w:r>
      <w:r w:rsidR="000B0C3F" w:rsidRPr="000B45F2">
        <w:rPr>
          <w:bCs/>
        </w:rPr>
        <w:t>we can no longer preserve the</w:t>
      </w:r>
      <w:r w:rsidR="00264A98" w:rsidRPr="000B45F2">
        <w:rPr>
          <w:bCs/>
        </w:rPr>
        <w:t xml:space="preserve"> intuition that I am also permitted to </w:t>
      </w:r>
      <w:r w:rsidR="00264A98" w:rsidRPr="000B45F2">
        <w:rPr>
          <w:bCs/>
          <w:i/>
          <w:iCs/>
        </w:rPr>
        <w:t>sacrifice</w:t>
      </w:r>
      <w:r w:rsidR="000B0C3F" w:rsidRPr="000B45F2">
        <w:rPr>
          <w:bCs/>
        </w:rPr>
        <w:t xml:space="preserve"> it given</w:t>
      </w:r>
      <w:r w:rsidR="0033411A" w:rsidRPr="000B45F2">
        <w:rPr>
          <w:bCs/>
        </w:rPr>
        <w:t xml:space="preserve"> the weight-ought connection</w:t>
      </w:r>
      <w:r w:rsidR="000B0C3F" w:rsidRPr="000B45F2">
        <w:rPr>
          <w:bCs/>
        </w:rPr>
        <w:t>.</w:t>
      </w:r>
      <w:r w:rsidR="00AD5558">
        <w:rPr>
          <w:rStyle w:val="FootnoteReference"/>
          <w:bCs/>
        </w:rPr>
        <w:footnoteReference w:id="26"/>
      </w:r>
      <w:r w:rsidR="000B0C3F" w:rsidRPr="000B45F2">
        <w:rPr>
          <w:bCs/>
        </w:rPr>
        <w:t xml:space="preserve"> </w:t>
      </w:r>
      <w:r w:rsidR="005E1E08" w:rsidRPr="000B45F2">
        <w:rPr>
          <w:bCs/>
        </w:rPr>
        <w:t>The only way I could do this</w:t>
      </w:r>
      <w:r w:rsidR="003D5F51" w:rsidRPr="000B45F2">
        <w:rPr>
          <w:bCs/>
        </w:rPr>
        <w:t xml:space="preserve"> according to </w:t>
      </w:r>
      <w:r w:rsidR="007B4575">
        <w:rPr>
          <w:bCs/>
        </w:rPr>
        <w:t>the Deontic Weight Strategy</w:t>
      </w:r>
      <w:r w:rsidR="003D5F51" w:rsidRPr="000B45F2">
        <w:rPr>
          <w:bCs/>
        </w:rPr>
        <w:t xml:space="preserve"> is</w:t>
      </w:r>
      <w:r w:rsidR="005E1E08" w:rsidRPr="000B45F2">
        <w:rPr>
          <w:bCs/>
        </w:rPr>
        <w:t xml:space="preserve"> to somehow instantly annihilate the value attached to my</w:t>
      </w:r>
      <w:r w:rsidR="008672E0" w:rsidRPr="000B45F2">
        <w:rPr>
          <w:bCs/>
        </w:rPr>
        <w:t xml:space="preserve"> arm. This is something that I cannot do</w:t>
      </w:r>
      <w:r w:rsidR="00534BFB" w:rsidRPr="000B45F2">
        <w:rPr>
          <w:bCs/>
        </w:rPr>
        <w:t xml:space="preserve"> short of destroying it (which would be impermissible </w:t>
      </w:r>
      <w:r w:rsidR="00EB0AF3" w:rsidRPr="000B45F2">
        <w:rPr>
          <w:bCs/>
        </w:rPr>
        <w:t>because I could have</w:t>
      </w:r>
      <w:r w:rsidR="00534BFB" w:rsidRPr="000B45F2">
        <w:rPr>
          <w:bCs/>
        </w:rPr>
        <w:t xml:space="preserve"> sacrificed</w:t>
      </w:r>
      <w:r w:rsidR="00EB0AF3" w:rsidRPr="000B45F2">
        <w:rPr>
          <w:bCs/>
        </w:rPr>
        <w:t xml:space="preserve"> it</w:t>
      </w:r>
      <w:r w:rsidR="00534BFB" w:rsidRPr="000B45F2">
        <w:rPr>
          <w:bCs/>
        </w:rPr>
        <w:t xml:space="preserve"> instead to prevent three maimings).</w:t>
      </w:r>
    </w:p>
    <w:p w14:paraId="68EC6C05" w14:textId="375F0684" w:rsidR="004D1B27" w:rsidRPr="000B45F2" w:rsidRDefault="00EC6A6D" w:rsidP="00880ACB">
      <w:pPr>
        <w:pStyle w:val="Ting-Heading3"/>
        <w:jc w:val="both"/>
        <w:rPr>
          <w:bCs/>
        </w:rPr>
      </w:pPr>
      <w:r w:rsidRPr="000B45F2">
        <w:rPr>
          <w:bCs/>
        </w:rPr>
        <w:t>General</w:t>
      </w:r>
      <w:r w:rsidR="005307E3" w:rsidRPr="000B45F2">
        <w:rPr>
          <w:bCs/>
        </w:rPr>
        <w:t xml:space="preserve"> Findings</w:t>
      </w:r>
    </w:p>
    <w:p w14:paraId="6CD60006" w14:textId="0B33390D" w:rsidR="005307E3" w:rsidRPr="000B45F2" w:rsidRDefault="003E2A93" w:rsidP="00880ACB">
      <w:pPr>
        <w:jc w:val="both"/>
        <w:rPr>
          <w:bCs/>
        </w:rPr>
      </w:pPr>
      <w:r w:rsidRPr="000B45F2">
        <w:rPr>
          <w:bCs/>
        </w:rPr>
        <w:t xml:space="preserve">Thus far, we have considered several ways in which an agent can generate new deontic weight. </w:t>
      </w:r>
      <w:r w:rsidR="00CA45BD">
        <w:rPr>
          <w:bCs/>
        </w:rPr>
        <w:t>Though we have not</w:t>
      </w:r>
      <w:r w:rsidRPr="000B45F2">
        <w:rPr>
          <w:bCs/>
        </w:rPr>
        <w:t xml:space="preserve"> exhausted all of the possibilities</w:t>
      </w:r>
      <w:r w:rsidR="0016590C" w:rsidRPr="000B45F2">
        <w:rPr>
          <w:bCs/>
        </w:rPr>
        <w:t>,</w:t>
      </w:r>
      <w:r w:rsidR="009074F7" w:rsidRPr="000B45F2">
        <w:rPr>
          <w:bCs/>
        </w:rPr>
        <w:t xml:space="preserve"> </w:t>
      </w:r>
      <w:r w:rsidRPr="000B45F2">
        <w:rPr>
          <w:bCs/>
        </w:rPr>
        <w:t xml:space="preserve">we can nonetheless note some general </w:t>
      </w:r>
      <w:r w:rsidR="009074F7" w:rsidRPr="000B45F2">
        <w:rPr>
          <w:bCs/>
        </w:rPr>
        <w:t xml:space="preserve">issues </w:t>
      </w:r>
      <w:r w:rsidRPr="000B45F2">
        <w:rPr>
          <w:bCs/>
        </w:rPr>
        <w:t xml:space="preserve">that </w:t>
      </w:r>
      <w:r w:rsidR="004723D1" w:rsidRPr="000B45F2">
        <w:rPr>
          <w:bCs/>
        </w:rPr>
        <w:t xml:space="preserve">such </w:t>
      </w:r>
      <w:r w:rsidRPr="000B45F2">
        <w:rPr>
          <w:bCs/>
        </w:rPr>
        <w:t xml:space="preserve">proposals will </w:t>
      </w:r>
      <w:r w:rsidR="009074F7" w:rsidRPr="000B45F2">
        <w:rPr>
          <w:bCs/>
        </w:rPr>
        <w:t>have to address.</w:t>
      </w:r>
    </w:p>
    <w:p w14:paraId="78AA375A" w14:textId="558C98EC" w:rsidR="004D1B27" w:rsidRPr="000B45F2" w:rsidRDefault="00C96A7A" w:rsidP="00880ACB">
      <w:pPr>
        <w:jc w:val="both"/>
        <w:rPr>
          <w:bCs/>
        </w:rPr>
      </w:pPr>
      <w:r w:rsidRPr="000B45F2">
        <w:rPr>
          <w:bCs/>
        </w:rPr>
        <w:t xml:space="preserve">First, what we have seen is that the deontic weight generated by promises, commitments, will-based reasons, </w:t>
      </w:r>
      <w:r w:rsidR="009C0485">
        <w:rPr>
          <w:bCs/>
        </w:rPr>
        <w:t xml:space="preserve">and </w:t>
      </w:r>
      <w:r w:rsidRPr="000B45F2">
        <w:rPr>
          <w:bCs/>
        </w:rPr>
        <w:t>increasing the strength of our desires</w:t>
      </w:r>
      <w:r w:rsidR="004723D1" w:rsidRPr="000B45F2">
        <w:rPr>
          <w:bCs/>
        </w:rPr>
        <w:t>/values will</w:t>
      </w:r>
      <w:r w:rsidR="004C1A4E" w:rsidRPr="000B45F2">
        <w:rPr>
          <w:bCs/>
        </w:rPr>
        <w:t xml:space="preserve"> often be quite limited</w:t>
      </w:r>
      <w:r w:rsidRPr="000B45F2">
        <w:rPr>
          <w:bCs/>
        </w:rPr>
        <w:t xml:space="preserve">. Thus, even though we have had some success accounting for Exercise or Couch, we have had significantly less success accounting for </w:t>
      </w:r>
      <w:r w:rsidR="00306A53" w:rsidRPr="000B45F2">
        <w:rPr>
          <w:bCs/>
        </w:rPr>
        <w:t>My Arm</w:t>
      </w:r>
      <w:r w:rsidRPr="000B45F2">
        <w:rPr>
          <w:bCs/>
        </w:rPr>
        <w:t xml:space="preserve"> and </w:t>
      </w:r>
      <w:r w:rsidR="00306A53" w:rsidRPr="000B45F2">
        <w:rPr>
          <w:bCs/>
        </w:rPr>
        <w:t>Your Arm</w:t>
      </w:r>
      <w:r w:rsidRPr="000B45F2">
        <w:rPr>
          <w:bCs/>
        </w:rPr>
        <w:t>.</w:t>
      </w:r>
      <w:r w:rsidR="00A066F2" w:rsidRPr="000B45F2">
        <w:rPr>
          <w:bCs/>
        </w:rPr>
        <w:t xml:space="preserve"> This </w:t>
      </w:r>
      <w:r w:rsidR="00362545" w:rsidRPr="000B45F2">
        <w:rPr>
          <w:bCs/>
        </w:rPr>
        <w:t>should not be</w:t>
      </w:r>
      <w:r w:rsidR="00A066F2" w:rsidRPr="000B45F2">
        <w:rPr>
          <w:bCs/>
        </w:rPr>
        <w:t xml:space="preserve"> surprising. Recalling the historical parallel with Kant, even if we do </w:t>
      </w:r>
      <w:r w:rsidR="0042617D">
        <w:rPr>
          <w:bCs/>
        </w:rPr>
        <w:t>play a</w:t>
      </w:r>
      <w:r w:rsidR="00A066F2" w:rsidRPr="000B45F2">
        <w:rPr>
          <w:bCs/>
        </w:rPr>
        <w:t xml:space="preserve"> role in creating deontic weight, there are limits – there is existing deontic weight that we must respond to grounded in objective features of </w:t>
      </w:r>
      <w:r w:rsidR="00A55632" w:rsidRPr="000B45F2">
        <w:rPr>
          <w:bCs/>
        </w:rPr>
        <w:t>the world.</w:t>
      </w:r>
    </w:p>
    <w:p w14:paraId="5DFB9C5F" w14:textId="4C90D478" w:rsidR="004C1A4E" w:rsidRPr="000B45F2" w:rsidRDefault="004C1A4E" w:rsidP="00880ACB">
      <w:pPr>
        <w:jc w:val="both"/>
        <w:rPr>
          <w:bCs/>
        </w:rPr>
      </w:pPr>
      <w:r w:rsidRPr="000B45F2">
        <w:rPr>
          <w:bCs/>
        </w:rPr>
        <w:t>Second,</w:t>
      </w:r>
      <w:r w:rsidR="005B4AF4" w:rsidRPr="000B45F2">
        <w:rPr>
          <w:bCs/>
        </w:rPr>
        <w:t xml:space="preserve"> in order to account for our cases using</w:t>
      </w:r>
      <w:r w:rsidR="007B4575">
        <w:rPr>
          <w:bCs/>
        </w:rPr>
        <w:t xml:space="preserve"> the Deontic Weight Strategy</w:t>
      </w:r>
      <w:r w:rsidR="005B4AF4" w:rsidRPr="000B45F2">
        <w:rPr>
          <w:bCs/>
        </w:rPr>
        <w:t>, an agent must be able to</w:t>
      </w:r>
      <w:r w:rsidR="00EC6A6D" w:rsidRPr="000B45F2">
        <w:rPr>
          <w:bCs/>
        </w:rPr>
        <w:t xml:space="preserve"> immediately</w:t>
      </w:r>
      <w:r w:rsidR="005B4AF4" w:rsidRPr="000B45F2">
        <w:rPr>
          <w:bCs/>
        </w:rPr>
        <w:t xml:space="preserve"> </w:t>
      </w:r>
      <w:r w:rsidR="007C3AA5">
        <w:rPr>
          <w:bCs/>
        </w:rPr>
        <w:t>alter</w:t>
      </w:r>
      <w:r w:rsidR="005B4AF4" w:rsidRPr="000B45F2">
        <w:rPr>
          <w:bCs/>
        </w:rPr>
        <w:t xml:space="preserve"> deontic weight on command. For example, if I am permitted to exercise or go on the couch, then I </w:t>
      </w:r>
      <w:r w:rsidR="001167FA" w:rsidRPr="000B45F2">
        <w:rPr>
          <w:bCs/>
        </w:rPr>
        <w:t>must be able to immediately</w:t>
      </w:r>
      <w:r w:rsidR="005B4AF4" w:rsidRPr="000B45F2">
        <w:rPr>
          <w:bCs/>
        </w:rPr>
        <w:t xml:space="preserve"> make</w:t>
      </w:r>
      <w:r w:rsidR="00FB28CD" w:rsidRPr="000B45F2">
        <w:rPr>
          <w:bCs/>
        </w:rPr>
        <w:t xml:space="preserve"> </w:t>
      </w:r>
      <w:r w:rsidR="005B4AF4" w:rsidRPr="000B45F2">
        <w:rPr>
          <w:bCs/>
        </w:rPr>
        <w:t xml:space="preserve">either option obligatory by placing deontic weight on it. Likewise, a permission to either sacrifice or not sacrifice my arm requires </w:t>
      </w:r>
      <w:r w:rsidR="00E43540" w:rsidRPr="000B45F2">
        <w:rPr>
          <w:bCs/>
        </w:rPr>
        <w:t xml:space="preserve">an immediate ability to make </w:t>
      </w:r>
      <w:r w:rsidR="005B4AF4" w:rsidRPr="000B45F2">
        <w:rPr>
          <w:bCs/>
        </w:rPr>
        <w:t>either option obligatory by placing</w:t>
      </w:r>
      <w:r w:rsidR="008A4AA4" w:rsidRPr="000B45F2">
        <w:rPr>
          <w:bCs/>
        </w:rPr>
        <w:t xml:space="preserve"> or removing</w:t>
      </w:r>
      <w:r w:rsidR="005B4AF4" w:rsidRPr="000B45F2">
        <w:rPr>
          <w:bCs/>
        </w:rPr>
        <w:t xml:space="preserve"> deontic weight </w:t>
      </w:r>
      <w:r w:rsidR="008A4AA4" w:rsidRPr="000B45F2">
        <w:rPr>
          <w:bCs/>
        </w:rPr>
        <w:t>from</w:t>
      </w:r>
      <w:r w:rsidR="005B4AF4" w:rsidRPr="000B45F2">
        <w:rPr>
          <w:bCs/>
        </w:rPr>
        <w:t xml:space="preserve"> it.</w:t>
      </w:r>
      <w:r w:rsidR="00EC6A6D" w:rsidRPr="000B45F2">
        <w:rPr>
          <w:bCs/>
        </w:rPr>
        <w:t xml:space="preserve"> </w:t>
      </w:r>
      <w:r w:rsidR="0036316B" w:rsidRPr="000B45F2">
        <w:rPr>
          <w:bCs/>
        </w:rPr>
        <w:t>The</w:t>
      </w:r>
      <w:r w:rsidR="001167FA" w:rsidRPr="000B45F2">
        <w:rPr>
          <w:bCs/>
        </w:rPr>
        <w:t xml:space="preserve"> </w:t>
      </w:r>
      <w:r w:rsidR="00EC6A6D" w:rsidRPr="000B45F2">
        <w:rPr>
          <w:bCs/>
        </w:rPr>
        <w:t>strategies we have encountered do not</w:t>
      </w:r>
      <w:r w:rsidR="001167FA" w:rsidRPr="000B45F2">
        <w:rPr>
          <w:bCs/>
        </w:rPr>
        <w:t xml:space="preserve"> typically</w:t>
      </w:r>
      <w:r w:rsidR="00EC6A6D" w:rsidRPr="000B45F2">
        <w:rPr>
          <w:bCs/>
        </w:rPr>
        <w:t xml:space="preserve"> allow agents to </w:t>
      </w:r>
      <w:r w:rsidR="007C3AA5">
        <w:rPr>
          <w:bCs/>
        </w:rPr>
        <w:t>alter</w:t>
      </w:r>
      <w:r w:rsidR="00EC6A6D" w:rsidRPr="000B45F2">
        <w:rPr>
          <w:bCs/>
        </w:rPr>
        <w:t xml:space="preserve"> deontic weight immediately</w:t>
      </w:r>
      <w:r w:rsidR="00514812" w:rsidRPr="000B45F2">
        <w:rPr>
          <w:bCs/>
        </w:rPr>
        <w:t xml:space="preserve"> </w:t>
      </w:r>
      <w:r w:rsidR="0058547A" w:rsidRPr="000B45F2">
        <w:rPr>
          <w:bCs/>
        </w:rPr>
        <w:t>in this way</w:t>
      </w:r>
      <w:r w:rsidR="00EC6A6D" w:rsidRPr="000B45F2">
        <w:rPr>
          <w:bCs/>
        </w:rPr>
        <w:t xml:space="preserve">. We </w:t>
      </w:r>
      <w:r w:rsidR="0058547A" w:rsidRPr="000B45F2">
        <w:rPr>
          <w:bCs/>
        </w:rPr>
        <w:t xml:space="preserve">typically </w:t>
      </w:r>
      <w:r w:rsidR="00EC6A6D" w:rsidRPr="000B45F2">
        <w:rPr>
          <w:bCs/>
        </w:rPr>
        <w:t>cannot immediately generate or destroy value</w:t>
      </w:r>
      <w:r w:rsidR="00514812" w:rsidRPr="000B45F2">
        <w:rPr>
          <w:bCs/>
        </w:rPr>
        <w:t xml:space="preserve">. Nor </w:t>
      </w:r>
      <w:r w:rsidR="00E446D4" w:rsidRPr="000B45F2">
        <w:rPr>
          <w:bCs/>
        </w:rPr>
        <w:t>do we</w:t>
      </w:r>
      <w:r w:rsidR="0043144A" w:rsidRPr="000B45F2">
        <w:rPr>
          <w:bCs/>
        </w:rPr>
        <w:t xml:space="preserve"> typically</w:t>
      </w:r>
      <w:r w:rsidR="00E446D4" w:rsidRPr="000B45F2">
        <w:rPr>
          <w:bCs/>
        </w:rPr>
        <w:t xml:space="preserve"> have direct control over our desires</w:t>
      </w:r>
      <w:r w:rsidR="00514812" w:rsidRPr="000B45F2">
        <w:rPr>
          <w:bCs/>
        </w:rPr>
        <w:t xml:space="preserve">. </w:t>
      </w:r>
      <w:r w:rsidR="0043144A" w:rsidRPr="000B45F2">
        <w:rPr>
          <w:bCs/>
        </w:rPr>
        <w:t>Even if w</w:t>
      </w:r>
      <w:r w:rsidR="00514812" w:rsidRPr="000B45F2">
        <w:rPr>
          <w:bCs/>
        </w:rPr>
        <w:t xml:space="preserve">ill-based reasons are </w:t>
      </w:r>
      <w:r w:rsidR="0043144A" w:rsidRPr="000B45F2">
        <w:rPr>
          <w:bCs/>
        </w:rPr>
        <w:t>under our direct control, they can only be created in the context of parity cases</w:t>
      </w:r>
      <w:r w:rsidR="00514812" w:rsidRPr="000B45F2">
        <w:rPr>
          <w:bCs/>
        </w:rPr>
        <w:t xml:space="preserve">. </w:t>
      </w:r>
      <w:r w:rsidR="0043144A" w:rsidRPr="000B45F2">
        <w:rPr>
          <w:bCs/>
        </w:rPr>
        <w:t>Lastly,</w:t>
      </w:r>
      <w:r w:rsidR="00E446D4" w:rsidRPr="000B45F2">
        <w:rPr>
          <w:bCs/>
        </w:rPr>
        <w:t xml:space="preserve"> even if we</w:t>
      </w:r>
      <w:r w:rsidR="00514812" w:rsidRPr="000B45F2">
        <w:rPr>
          <w:bCs/>
        </w:rPr>
        <w:t xml:space="preserve"> can generate commitments or promises on command, we have seen that they </w:t>
      </w:r>
      <w:r w:rsidR="00010FEC" w:rsidRPr="000B45F2">
        <w:rPr>
          <w:bCs/>
        </w:rPr>
        <w:t>only have limited</w:t>
      </w:r>
      <w:r w:rsidR="00514812" w:rsidRPr="000B45F2">
        <w:rPr>
          <w:bCs/>
        </w:rPr>
        <w:t xml:space="preserve"> application in the cases we are considering. </w:t>
      </w:r>
    </w:p>
    <w:p w14:paraId="1BB9163D" w14:textId="7B819461" w:rsidR="004D1B27" w:rsidRPr="000B45F2" w:rsidRDefault="00514812" w:rsidP="00880ACB">
      <w:pPr>
        <w:jc w:val="both"/>
        <w:rPr>
          <w:bCs/>
        </w:rPr>
      </w:pPr>
      <w:r w:rsidRPr="000B45F2">
        <w:rPr>
          <w:bCs/>
        </w:rPr>
        <w:lastRenderedPageBreak/>
        <w:t xml:space="preserve">In order for </w:t>
      </w:r>
      <w:r w:rsidR="007B4575">
        <w:rPr>
          <w:bCs/>
        </w:rPr>
        <w:t>the strategy</w:t>
      </w:r>
      <w:r w:rsidRPr="000B45F2">
        <w:rPr>
          <w:bCs/>
        </w:rPr>
        <w:t xml:space="preserve"> to work, what we need is a ground for our ability to </w:t>
      </w:r>
      <w:r w:rsidR="007C3AA5">
        <w:rPr>
          <w:bCs/>
        </w:rPr>
        <w:t>alter</w:t>
      </w:r>
      <w:r w:rsidRPr="000B45F2">
        <w:rPr>
          <w:bCs/>
        </w:rPr>
        <w:t xml:space="preserve"> deontic weight that involves </w:t>
      </w:r>
      <w:r w:rsidR="0021324C" w:rsidRPr="000B45F2">
        <w:rPr>
          <w:bCs/>
        </w:rPr>
        <w:t xml:space="preserve">(i) an </w:t>
      </w:r>
      <w:r w:rsidRPr="000B45F2">
        <w:rPr>
          <w:bCs/>
        </w:rPr>
        <w:t xml:space="preserve">already existing and </w:t>
      </w:r>
      <w:r w:rsidR="0021324C" w:rsidRPr="000B45F2">
        <w:rPr>
          <w:bCs/>
        </w:rPr>
        <w:t>significant</w:t>
      </w:r>
      <w:r w:rsidRPr="000B45F2">
        <w:rPr>
          <w:bCs/>
        </w:rPr>
        <w:t xml:space="preserve"> </w:t>
      </w:r>
      <w:r w:rsidR="00E65438" w:rsidRPr="000B45F2">
        <w:rPr>
          <w:bCs/>
        </w:rPr>
        <w:t xml:space="preserve">amount of </w:t>
      </w:r>
      <w:r w:rsidRPr="000B45F2">
        <w:rPr>
          <w:bCs/>
        </w:rPr>
        <w:t xml:space="preserve">deontic weight that </w:t>
      </w:r>
      <w:r w:rsidR="0021324C" w:rsidRPr="000B45F2">
        <w:rPr>
          <w:bCs/>
        </w:rPr>
        <w:t xml:space="preserve">(ii) </w:t>
      </w:r>
      <w:r w:rsidRPr="000B45F2">
        <w:rPr>
          <w:bCs/>
        </w:rPr>
        <w:t xml:space="preserve">we can immediately </w:t>
      </w:r>
      <w:r w:rsidR="007C3AA5">
        <w:rPr>
          <w:bCs/>
        </w:rPr>
        <w:t>alter</w:t>
      </w:r>
      <w:r w:rsidR="00184E86" w:rsidRPr="000B45F2">
        <w:rPr>
          <w:bCs/>
        </w:rPr>
        <w:t xml:space="preserve"> </w:t>
      </w:r>
      <w:r w:rsidRPr="000B45F2">
        <w:rPr>
          <w:bCs/>
        </w:rPr>
        <w:t>on command.</w:t>
      </w:r>
      <w:r w:rsidR="00C071E1" w:rsidRPr="000B45F2">
        <w:rPr>
          <w:bCs/>
        </w:rPr>
        <w:t xml:space="preserve"> </w:t>
      </w:r>
      <w:r w:rsidR="00375032">
        <w:rPr>
          <w:bCs/>
        </w:rPr>
        <w:t>Mũnoz</w:t>
      </w:r>
      <w:r w:rsidR="00F655F4" w:rsidRPr="000B45F2">
        <w:rPr>
          <w:bCs/>
        </w:rPr>
        <w:t xml:space="preserve"> has proposed a normative entity that seems to play this exact role</w:t>
      </w:r>
      <w:r w:rsidR="00627B25" w:rsidRPr="000B45F2">
        <w:rPr>
          <w:bCs/>
        </w:rPr>
        <w:t xml:space="preserve">: </w:t>
      </w:r>
      <w:r w:rsidR="006451CD">
        <w:rPr>
          <w:bCs/>
        </w:rPr>
        <w:t xml:space="preserve">waivable </w:t>
      </w:r>
      <w:r w:rsidR="00627B25" w:rsidRPr="000B45F2">
        <w:rPr>
          <w:bCs/>
        </w:rPr>
        <w:t xml:space="preserve">rights. </w:t>
      </w:r>
    </w:p>
    <w:p w14:paraId="0B42B855" w14:textId="78FD4A59" w:rsidR="001055B5" w:rsidRPr="000B45F2" w:rsidRDefault="00F53665" w:rsidP="00880ACB">
      <w:pPr>
        <w:pStyle w:val="Ting-Heading2"/>
        <w:jc w:val="both"/>
        <w:rPr>
          <w:bCs/>
        </w:rPr>
      </w:pPr>
      <w:r w:rsidRPr="000B45F2">
        <w:rPr>
          <w:bCs/>
        </w:rPr>
        <w:t xml:space="preserve">3.2 </w:t>
      </w:r>
      <w:r w:rsidR="00F37B87">
        <w:rPr>
          <w:bCs/>
        </w:rPr>
        <w:t>Waiving and Asserting</w:t>
      </w:r>
      <w:r w:rsidR="00D33CA8" w:rsidRPr="000B45F2">
        <w:rPr>
          <w:bCs/>
        </w:rPr>
        <w:t xml:space="preserve"> Existing Deontic Weight</w:t>
      </w:r>
      <w:r w:rsidR="008D0E06" w:rsidRPr="000B45F2">
        <w:rPr>
          <w:bCs/>
        </w:rPr>
        <w:t xml:space="preserve"> </w:t>
      </w:r>
      <w:r w:rsidR="001055B5" w:rsidRPr="000B45F2">
        <w:rPr>
          <w:bCs/>
        </w:rPr>
        <w:t>–</w:t>
      </w:r>
      <w:r w:rsidR="008D0E06" w:rsidRPr="000B45F2">
        <w:rPr>
          <w:bCs/>
        </w:rPr>
        <w:t xml:space="preserve"> </w:t>
      </w:r>
      <w:r w:rsidR="00F37B87">
        <w:rPr>
          <w:bCs/>
        </w:rPr>
        <w:t xml:space="preserve">Waivable </w:t>
      </w:r>
      <w:r w:rsidR="008D0E06" w:rsidRPr="000B45F2">
        <w:rPr>
          <w:bCs/>
        </w:rPr>
        <w:t>Rights</w:t>
      </w:r>
    </w:p>
    <w:p w14:paraId="1F604EA2" w14:textId="126FC39F" w:rsidR="00893324" w:rsidRPr="000B45F2" w:rsidRDefault="00375032" w:rsidP="00880ACB">
      <w:pPr>
        <w:jc w:val="both"/>
        <w:rPr>
          <w:bCs/>
        </w:rPr>
      </w:pPr>
      <w:r>
        <w:rPr>
          <w:bCs/>
        </w:rPr>
        <w:t>Mũnoz</w:t>
      </w:r>
      <w:r w:rsidR="001055B5" w:rsidRPr="000B45F2">
        <w:rPr>
          <w:bCs/>
        </w:rPr>
        <w:t xml:space="preserve"> (forthcoming) has recently proposed</w:t>
      </w:r>
      <w:r w:rsidR="00262285" w:rsidRPr="000B45F2">
        <w:rPr>
          <w:bCs/>
        </w:rPr>
        <w:t xml:space="preserve"> that</w:t>
      </w:r>
      <w:r w:rsidR="00142B25" w:rsidRPr="000B45F2">
        <w:rPr>
          <w:bCs/>
        </w:rPr>
        <w:t xml:space="preserve"> </w:t>
      </w:r>
      <w:r w:rsidR="001B5E64" w:rsidRPr="000B45F2">
        <w:rPr>
          <w:bCs/>
        </w:rPr>
        <w:t>prerogatives</w:t>
      </w:r>
      <w:r w:rsidR="00617191" w:rsidRPr="000B45F2">
        <w:rPr>
          <w:bCs/>
        </w:rPr>
        <w:t xml:space="preserve"> </w:t>
      </w:r>
      <w:r w:rsidR="001B5E64" w:rsidRPr="000B45F2">
        <w:rPr>
          <w:bCs/>
        </w:rPr>
        <w:t xml:space="preserve">are grounded </w:t>
      </w:r>
      <w:r w:rsidR="00617191" w:rsidRPr="000B45F2">
        <w:rPr>
          <w:bCs/>
        </w:rPr>
        <w:t>i</w:t>
      </w:r>
      <w:r w:rsidR="001B5E64" w:rsidRPr="000B45F2">
        <w:rPr>
          <w:bCs/>
        </w:rPr>
        <w:t>n</w:t>
      </w:r>
      <w:r w:rsidR="00262285" w:rsidRPr="000B45F2">
        <w:rPr>
          <w:bCs/>
        </w:rPr>
        <w:t xml:space="preserve"> </w:t>
      </w:r>
      <w:r w:rsidR="00F37B87">
        <w:rPr>
          <w:bCs/>
        </w:rPr>
        <w:t xml:space="preserve">waivable </w:t>
      </w:r>
      <w:r w:rsidR="001B5E64" w:rsidRPr="000B45F2">
        <w:rPr>
          <w:bCs/>
        </w:rPr>
        <w:t>rights</w:t>
      </w:r>
      <w:r w:rsidR="00F37B87">
        <w:rPr>
          <w:bCs/>
        </w:rPr>
        <w:t xml:space="preserve"> (henceforth rights)</w:t>
      </w:r>
      <w:r w:rsidR="001B5E64" w:rsidRPr="000B45F2">
        <w:rPr>
          <w:bCs/>
        </w:rPr>
        <w:t>.</w:t>
      </w:r>
      <w:r w:rsidR="00893324" w:rsidRPr="000B45F2">
        <w:rPr>
          <w:bCs/>
        </w:rPr>
        <w:t xml:space="preserve"> Crucially</w:t>
      </w:r>
      <w:r w:rsidR="004D7F89" w:rsidRPr="000B45F2">
        <w:rPr>
          <w:bCs/>
        </w:rPr>
        <w:t xml:space="preserve"> for our purposes</w:t>
      </w:r>
      <w:r w:rsidR="00893324" w:rsidRPr="000B45F2">
        <w:rPr>
          <w:bCs/>
        </w:rPr>
        <w:t xml:space="preserve">, rights have an existing deontic weight that an agent can assert or waive </w:t>
      </w:r>
      <w:r w:rsidR="00390704">
        <w:rPr>
          <w:bCs/>
        </w:rPr>
        <w:t>at will</w:t>
      </w:r>
      <w:r w:rsidR="00893324" w:rsidRPr="000B45F2">
        <w:rPr>
          <w:bCs/>
        </w:rPr>
        <w:t xml:space="preserve">. </w:t>
      </w:r>
      <w:r w:rsidR="00870DCF" w:rsidRPr="000B45F2">
        <w:rPr>
          <w:bCs/>
        </w:rPr>
        <w:t>Recall</w:t>
      </w:r>
      <w:r w:rsidR="00893324" w:rsidRPr="000B45F2">
        <w:rPr>
          <w:bCs/>
        </w:rPr>
        <w:t xml:space="preserve"> that an important motivation for common</w:t>
      </w:r>
      <w:r w:rsidR="00D542C6">
        <w:rPr>
          <w:bCs/>
        </w:rPr>
        <w:t xml:space="preserve"> </w:t>
      </w:r>
      <w:r w:rsidR="00893324" w:rsidRPr="000B45F2">
        <w:rPr>
          <w:bCs/>
        </w:rPr>
        <w:t xml:space="preserve">sense morality is that agents </w:t>
      </w:r>
      <w:r w:rsidR="00EF3BB1" w:rsidRPr="000B45F2">
        <w:rPr>
          <w:bCs/>
        </w:rPr>
        <w:t xml:space="preserve">need </w:t>
      </w:r>
      <w:r w:rsidR="00893324" w:rsidRPr="000B45F2">
        <w:rPr>
          <w:bCs/>
        </w:rPr>
        <w:t xml:space="preserve">a protected sphere in which they are allowed to act </w:t>
      </w:r>
      <w:r w:rsidR="00EF3BB1" w:rsidRPr="000B45F2">
        <w:rPr>
          <w:bCs/>
        </w:rPr>
        <w:t>without hinderance</w:t>
      </w:r>
      <w:r w:rsidR="00893324" w:rsidRPr="000B45F2">
        <w:rPr>
          <w:bCs/>
        </w:rPr>
        <w:t xml:space="preserve">. </w:t>
      </w:r>
      <w:r w:rsidR="0093136D" w:rsidRPr="000B45F2">
        <w:rPr>
          <w:bCs/>
        </w:rPr>
        <w:t>The appeal to r</w:t>
      </w:r>
      <w:r w:rsidR="00893324" w:rsidRPr="000B45F2">
        <w:rPr>
          <w:bCs/>
        </w:rPr>
        <w:t xml:space="preserve">ights </w:t>
      </w:r>
      <w:r w:rsidR="00491C74" w:rsidRPr="000B45F2">
        <w:rPr>
          <w:bCs/>
        </w:rPr>
        <w:t>seem</w:t>
      </w:r>
      <w:r w:rsidR="0093136D" w:rsidRPr="000B45F2">
        <w:rPr>
          <w:bCs/>
        </w:rPr>
        <w:t>s</w:t>
      </w:r>
      <w:r w:rsidR="00491C74" w:rsidRPr="000B45F2">
        <w:rPr>
          <w:bCs/>
        </w:rPr>
        <w:t xml:space="preserve"> to naturally </w:t>
      </w:r>
      <w:r w:rsidR="00FF0F2C" w:rsidRPr="000B45F2">
        <w:rPr>
          <w:bCs/>
        </w:rPr>
        <w:t>accommodate this</w:t>
      </w:r>
      <w:r w:rsidR="00893324" w:rsidRPr="000B45F2">
        <w:rPr>
          <w:bCs/>
        </w:rPr>
        <w:t xml:space="preserve"> protected sphere. </w:t>
      </w:r>
    </w:p>
    <w:p w14:paraId="2FD8D423" w14:textId="45F4116D" w:rsidR="003E32A7" w:rsidRPr="000B45F2" w:rsidRDefault="001B5E64" w:rsidP="00880ACB">
      <w:pPr>
        <w:jc w:val="both"/>
        <w:rPr>
          <w:bCs/>
        </w:rPr>
      </w:pPr>
      <w:r w:rsidRPr="000B45F2">
        <w:rPr>
          <w:bCs/>
        </w:rPr>
        <w:t xml:space="preserve">When paired with </w:t>
      </w:r>
      <w:r w:rsidR="007B4575">
        <w:rPr>
          <w:bCs/>
        </w:rPr>
        <w:t>the Deontic Weight Strategy</w:t>
      </w:r>
      <w:r w:rsidRPr="000B45F2">
        <w:rPr>
          <w:bCs/>
        </w:rPr>
        <w:t xml:space="preserve">, </w:t>
      </w:r>
      <w:r w:rsidR="00FA57FC" w:rsidRPr="000B45F2">
        <w:rPr>
          <w:bCs/>
        </w:rPr>
        <w:t>rights see</w:t>
      </w:r>
      <w:r w:rsidR="00870DCF" w:rsidRPr="000B45F2">
        <w:rPr>
          <w:bCs/>
        </w:rPr>
        <w:t>m</w:t>
      </w:r>
      <w:r w:rsidR="00FA57FC" w:rsidRPr="000B45F2">
        <w:rPr>
          <w:bCs/>
        </w:rPr>
        <w:t xml:space="preserve"> to </w:t>
      </w:r>
      <w:r w:rsidR="00B77697">
        <w:rPr>
          <w:bCs/>
        </w:rPr>
        <w:t xml:space="preserve">neatly </w:t>
      </w:r>
      <w:r w:rsidRPr="000B45F2">
        <w:rPr>
          <w:bCs/>
        </w:rPr>
        <w:t xml:space="preserve">account for our intuitions about Exercise or Couch, </w:t>
      </w:r>
      <w:r w:rsidR="00306A53" w:rsidRPr="000B45F2">
        <w:rPr>
          <w:bCs/>
        </w:rPr>
        <w:t>My Arm</w:t>
      </w:r>
      <w:r w:rsidRPr="000B45F2">
        <w:rPr>
          <w:bCs/>
        </w:rPr>
        <w:t xml:space="preserve">, and </w:t>
      </w:r>
      <w:r w:rsidR="00306A53" w:rsidRPr="000B45F2">
        <w:rPr>
          <w:bCs/>
        </w:rPr>
        <w:t>Your Arm</w:t>
      </w:r>
      <w:r w:rsidRPr="000B45F2">
        <w:rPr>
          <w:bCs/>
        </w:rPr>
        <w:t xml:space="preserve">. For example, </w:t>
      </w:r>
      <w:r w:rsidR="00893324" w:rsidRPr="000B45F2">
        <w:rPr>
          <w:bCs/>
        </w:rPr>
        <w:t>in Exercise</w:t>
      </w:r>
      <w:r w:rsidR="0005053F" w:rsidRPr="000B45F2">
        <w:rPr>
          <w:bCs/>
        </w:rPr>
        <w:t xml:space="preserve"> or Couch, if I have</w:t>
      </w:r>
      <w:r w:rsidR="008F22A7" w:rsidRPr="000B45F2">
        <w:rPr>
          <w:bCs/>
        </w:rPr>
        <w:t xml:space="preserve"> a general</w:t>
      </w:r>
      <w:r w:rsidR="0005053F" w:rsidRPr="000B45F2">
        <w:rPr>
          <w:bCs/>
        </w:rPr>
        <w:t xml:space="preserve"> right</w:t>
      </w:r>
      <w:r w:rsidR="008F22A7" w:rsidRPr="000B45F2">
        <w:rPr>
          <w:bCs/>
        </w:rPr>
        <w:t xml:space="preserve"> to non-interference</w:t>
      </w:r>
      <w:r w:rsidR="0005053F" w:rsidRPr="000B45F2">
        <w:rPr>
          <w:bCs/>
        </w:rPr>
        <w:t xml:space="preserve">, I can assert it and thereby </w:t>
      </w:r>
      <w:r w:rsidR="007C3AA5">
        <w:rPr>
          <w:bCs/>
        </w:rPr>
        <w:t>shift</w:t>
      </w:r>
      <w:r w:rsidR="0005053F" w:rsidRPr="000B45F2">
        <w:rPr>
          <w:bCs/>
        </w:rPr>
        <w:t xml:space="preserve"> deontic weight towards staying on the couch </w:t>
      </w:r>
      <w:r w:rsidR="00870DCF" w:rsidRPr="000B45F2">
        <w:rPr>
          <w:bCs/>
        </w:rPr>
        <w:t xml:space="preserve">so there is </w:t>
      </w:r>
      <w:r w:rsidR="0005053F" w:rsidRPr="000B45F2">
        <w:rPr>
          <w:bCs/>
        </w:rPr>
        <w:t xml:space="preserve">most deontic weight to do so. On the other hand, I can simply waive the right and let considerations of goodness deontically weigh in favor of exercising. </w:t>
      </w:r>
      <w:r w:rsidR="000516A4" w:rsidRPr="000B45F2">
        <w:rPr>
          <w:bCs/>
        </w:rPr>
        <w:t>Simil</w:t>
      </w:r>
      <w:r w:rsidR="004D6901" w:rsidRPr="000B45F2">
        <w:rPr>
          <w:bCs/>
        </w:rPr>
        <w:t>arl</w:t>
      </w:r>
      <w:r w:rsidR="000516A4" w:rsidRPr="000B45F2">
        <w:rPr>
          <w:bCs/>
        </w:rPr>
        <w:t>y</w:t>
      </w:r>
      <w:r w:rsidR="004D6901" w:rsidRPr="000B45F2">
        <w:rPr>
          <w:bCs/>
        </w:rPr>
        <w:t>,</w:t>
      </w:r>
      <w:r w:rsidR="000516A4" w:rsidRPr="000B45F2">
        <w:rPr>
          <w:bCs/>
        </w:rPr>
        <w:t xml:space="preserve"> in </w:t>
      </w:r>
      <w:r w:rsidR="00306A53" w:rsidRPr="000B45F2">
        <w:rPr>
          <w:bCs/>
        </w:rPr>
        <w:t>My Arm</w:t>
      </w:r>
      <w:r w:rsidR="000516A4" w:rsidRPr="000B45F2">
        <w:rPr>
          <w:bCs/>
        </w:rPr>
        <w:t>,</w:t>
      </w:r>
      <w:r w:rsidR="004D6901" w:rsidRPr="000B45F2">
        <w:rPr>
          <w:bCs/>
        </w:rPr>
        <w:t xml:space="preserve"> I </w:t>
      </w:r>
      <w:r w:rsidR="00B543C1" w:rsidRPr="000B45F2">
        <w:rPr>
          <w:bCs/>
        </w:rPr>
        <w:t xml:space="preserve">can </w:t>
      </w:r>
      <w:r w:rsidR="004D6901" w:rsidRPr="000B45F2">
        <w:rPr>
          <w:bCs/>
        </w:rPr>
        <w:t>assert a right to bodily integrity</w:t>
      </w:r>
      <w:r w:rsidR="00FD6DA0" w:rsidRPr="000B45F2">
        <w:rPr>
          <w:bCs/>
        </w:rPr>
        <w:t xml:space="preserve"> and thereby </w:t>
      </w:r>
      <w:r w:rsidR="004D6901" w:rsidRPr="000B45F2">
        <w:rPr>
          <w:bCs/>
        </w:rPr>
        <w:t>make it the case that I ought to retain my arm.</w:t>
      </w:r>
      <w:r w:rsidR="00B543C1" w:rsidRPr="000B45F2">
        <w:rPr>
          <w:bCs/>
        </w:rPr>
        <w:t xml:space="preserve"> To go above and beyond the duty in this case </w:t>
      </w:r>
      <w:r w:rsidR="00B77697">
        <w:rPr>
          <w:bCs/>
        </w:rPr>
        <w:t xml:space="preserve">consists in waiving my </w:t>
      </w:r>
      <w:r w:rsidR="005C0CA6" w:rsidRPr="000B45F2">
        <w:rPr>
          <w:bCs/>
        </w:rPr>
        <w:t xml:space="preserve">rights </w:t>
      </w:r>
      <w:r w:rsidR="00B543C1" w:rsidRPr="000B45F2">
        <w:rPr>
          <w:bCs/>
        </w:rPr>
        <w:t>and let</w:t>
      </w:r>
      <w:r w:rsidR="00B77697">
        <w:rPr>
          <w:bCs/>
        </w:rPr>
        <w:t xml:space="preserve">ting </w:t>
      </w:r>
      <w:r w:rsidR="003E32A7" w:rsidRPr="000B45F2">
        <w:rPr>
          <w:bCs/>
        </w:rPr>
        <w:t>existing</w:t>
      </w:r>
      <w:r w:rsidR="00B543C1" w:rsidRPr="000B45F2">
        <w:rPr>
          <w:bCs/>
        </w:rPr>
        <w:t xml:space="preserve"> </w:t>
      </w:r>
      <w:r w:rsidR="00636C47" w:rsidRPr="000B45F2">
        <w:rPr>
          <w:bCs/>
        </w:rPr>
        <w:t xml:space="preserve">value </w:t>
      </w:r>
      <w:r w:rsidR="003E32A7" w:rsidRPr="000B45F2">
        <w:rPr>
          <w:bCs/>
        </w:rPr>
        <w:t>considerations</w:t>
      </w:r>
      <w:r w:rsidR="00B543C1" w:rsidRPr="000B45F2">
        <w:rPr>
          <w:bCs/>
        </w:rPr>
        <w:t xml:space="preserve"> deontically weigh in favor of sacrificing my arm to prevent the three maimings.</w:t>
      </w:r>
    </w:p>
    <w:p w14:paraId="7C195238" w14:textId="6FB52C33" w:rsidR="00FA57FC" w:rsidRPr="000B45F2" w:rsidRDefault="003E32A7" w:rsidP="00880ACB">
      <w:pPr>
        <w:jc w:val="both"/>
        <w:rPr>
          <w:bCs/>
        </w:rPr>
      </w:pPr>
      <w:r w:rsidRPr="000B45F2">
        <w:rPr>
          <w:bCs/>
        </w:rPr>
        <w:t xml:space="preserve">Things are </w:t>
      </w:r>
      <w:r w:rsidR="009C6FF4">
        <w:rPr>
          <w:bCs/>
        </w:rPr>
        <w:t xml:space="preserve">somewhat </w:t>
      </w:r>
      <w:r w:rsidRPr="000B45F2">
        <w:rPr>
          <w:bCs/>
        </w:rPr>
        <w:t xml:space="preserve">trickier </w:t>
      </w:r>
      <w:r w:rsidR="00B20355">
        <w:rPr>
          <w:bCs/>
        </w:rPr>
        <w:t xml:space="preserve">for </w:t>
      </w:r>
      <w:r w:rsidR="00306A53" w:rsidRPr="000B45F2">
        <w:rPr>
          <w:bCs/>
        </w:rPr>
        <w:t>Your Arm</w:t>
      </w:r>
      <w:r w:rsidR="00B20355">
        <w:rPr>
          <w:bCs/>
        </w:rPr>
        <w:t xml:space="preserve"> but still explainable</w:t>
      </w:r>
      <w:r w:rsidR="00A01FEC" w:rsidRPr="000B45F2">
        <w:rPr>
          <w:bCs/>
        </w:rPr>
        <w:t>.</w:t>
      </w:r>
      <w:r w:rsidRPr="000B45F2">
        <w:rPr>
          <w:bCs/>
        </w:rPr>
        <w:t xml:space="preserve"> In the case of a restriction against pushing</w:t>
      </w:r>
      <w:r w:rsidR="00736873" w:rsidRPr="000B45F2">
        <w:rPr>
          <w:bCs/>
        </w:rPr>
        <w:t xml:space="preserve"> the button</w:t>
      </w:r>
      <w:r w:rsidRPr="000B45F2">
        <w:rPr>
          <w:bCs/>
        </w:rPr>
        <w:t xml:space="preserve">, what </w:t>
      </w:r>
      <w:r w:rsidRPr="000B45F2">
        <w:rPr>
          <w:bCs/>
          <w:i/>
          <w:iCs/>
        </w:rPr>
        <w:t xml:space="preserve">I </w:t>
      </w:r>
      <w:r w:rsidRPr="000B45F2">
        <w:rPr>
          <w:bCs/>
        </w:rPr>
        <w:t xml:space="preserve">ought to do will depend on whether </w:t>
      </w:r>
      <w:r w:rsidRPr="000B45F2">
        <w:rPr>
          <w:bCs/>
          <w:i/>
          <w:iCs/>
        </w:rPr>
        <w:t>you</w:t>
      </w:r>
      <w:r w:rsidRPr="000B45F2">
        <w:rPr>
          <w:bCs/>
        </w:rPr>
        <w:t xml:space="preserve"> waive or assert your right to bodily integrity. If you waive your right, then the</w:t>
      </w:r>
      <w:r w:rsidR="00736873" w:rsidRPr="000B45F2">
        <w:rPr>
          <w:bCs/>
        </w:rPr>
        <w:t xml:space="preserve"> primary</w:t>
      </w:r>
      <w:r w:rsidRPr="000B45F2">
        <w:rPr>
          <w:bCs/>
        </w:rPr>
        <w:t xml:space="preserve"> deontically weighty </w:t>
      </w:r>
      <w:r w:rsidR="007E45E5">
        <w:rPr>
          <w:bCs/>
        </w:rPr>
        <w:t xml:space="preserve">reasons </w:t>
      </w:r>
      <w:r w:rsidR="00FD775D" w:rsidRPr="000B45F2">
        <w:rPr>
          <w:bCs/>
        </w:rPr>
        <w:t>involve</w:t>
      </w:r>
      <w:r w:rsidRPr="000B45F2">
        <w:rPr>
          <w:bCs/>
        </w:rPr>
        <w:t xml:space="preserve"> the </w:t>
      </w:r>
      <w:r w:rsidR="00736873" w:rsidRPr="000B45F2">
        <w:rPr>
          <w:bCs/>
        </w:rPr>
        <w:t>value</w:t>
      </w:r>
      <w:r w:rsidRPr="000B45F2">
        <w:rPr>
          <w:bCs/>
        </w:rPr>
        <w:t xml:space="preserve"> of outcomes. If so, then I ought to push the button. On the other hand, if you assert your right, then it is no longer the </w:t>
      </w:r>
      <w:r w:rsidR="007109F7" w:rsidRPr="000B45F2">
        <w:rPr>
          <w:bCs/>
        </w:rPr>
        <w:t xml:space="preserve">case that </w:t>
      </w:r>
      <w:r w:rsidR="00736873" w:rsidRPr="000B45F2">
        <w:rPr>
          <w:bCs/>
        </w:rPr>
        <w:t>value considerations</w:t>
      </w:r>
      <w:r w:rsidR="007109F7" w:rsidRPr="000B45F2">
        <w:rPr>
          <w:bCs/>
        </w:rPr>
        <w:t xml:space="preserve"> are </w:t>
      </w:r>
      <w:r w:rsidR="00736873" w:rsidRPr="000B45F2">
        <w:rPr>
          <w:bCs/>
        </w:rPr>
        <w:t xml:space="preserve">solely </w:t>
      </w:r>
      <w:r w:rsidR="007109F7" w:rsidRPr="000B45F2">
        <w:rPr>
          <w:bCs/>
        </w:rPr>
        <w:t xml:space="preserve">relevant. </w:t>
      </w:r>
      <w:r w:rsidR="00736873" w:rsidRPr="000B45F2">
        <w:rPr>
          <w:bCs/>
        </w:rPr>
        <w:t>The assertion of your right</w:t>
      </w:r>
      <w:r w:rsidR="007109F7" w:rsidRPr="000B45F2">
        <w:rPr>
          <w:bCs/>
        </w:rPr>
        <w:t xml:space="preserve"> </w:t>
      </w:r>
      <w:r w:rsidR="00736873" w:rsidRPr="000B45F2">
        <w:rPr>
          <w:bCs/>
        </w:rPr>
        <w:t xml:space="preserve">now adds </w:t>
      </w:r>
      <w:r w:rsidR="007109F7" w:rsidRPr="000B45F2">
        <w:rPr>
          <w:bCs/>
        </w:rPr>
        <w:t xml:space="preserve">deontic weight that </w:t>
      </w:r>
      <w:r w:rsidR="00D90257" w:rsidRPr="000B45F2">
        <w:rPr>
          <w:bCs/>
        </w:rPr>
        <w:t>can make it so that I ought</w:t>
      </w:r>
      <w:r w:rsidR="007109F7" w:rsidRPr="000B45F2">
        <w:rPr>
          <w:bCs/>
        </w:rPr>
        <w:t xml:space="preserve"> not to push the button, thereby accounting for the restriction against doing so. </w:t>
      </w:r>
    </w:p>
    <w:p w14:paraId="1432012C" w14:textId="3DFBD560" w:rsidR="00137CEF" w:rsidRDefault="00383EA9" w:rsidP="00880ACB">
      <w:pPr>
        <w:jc w:val="both"/>
        <w:rPr>
          <w:bCs/>
        </w:rPr>
      </w:pPr>
      <w:r>
        <w:rPr>
          <w:bCs/>
        </w:rPr>
        <w:t>Though promising, the</w:t>
      </w:r>
      <w:r w:rsidR="00020400">
        <w:rPr>
          <w:bCs/>
        </w:rPr>
        <w:t xml:space="preserve"> proponent of </w:t>
      </w:r>
      <w:r w:rsidR="007B4575">
        <w:rPr>
          <w:bCs/>
        </w:rPr>
        <w:t xml:space="preserve">the Deontic Weight Strategy </w:t>
      </w:r>
      <w:r>
        <w:rPr>
          <w:bCs/>
        </w:rPr>
        <w:t>who wants to appeal to rights still faces</w:t>
      </w:r>
      <w:r w:rsidR="00020400">
        <w:rPr>
          <w:bCs/>
        </w:rPr>
        <w:t xml:space="preserve"> three serious issues. </w:t>
      </w:r>
      <w:r w:rsidR="00F13F4D">
        <w:rPr>
          <w:bCs/>
        </w:rPr>
        <w:t>The first two issues</w:t>
      </w:r>
      <w:r w:rsidR="0021135F">
        <w:rPr>
          <w:bCs/>
        </w:rPr>
        <w:t xml:space="preserve"> </w:t>
      </w:r>
      <w:r w:rsidR="00F13F4D">
        <w:rPr>
          <w:bCs/>
        </w:rPr>
        <w:t>ultimately depend on the</w:t>
      </w:r>
      <w:r w:rsidR="0021135F">
        <w:rPr>
          <w:bCs/>
        </w:rPr>
        <w:t xml:space="preserve"> third</w:t>
      </w:r>
      <w:r w:rsidR="00F13F4D">
        <w:rPr>
          <w:bCs/>
        </w:rPr>
        <w:t>.</w:t>
      </w:r>
      <w:r w:rsidR="00472F4C">
        <w:rPr>
          <w:bCs/>
        </w:rPr>
        <w:t xml:space="preserve"> Whether the third issue can be resolved will depend on whether we are </w:t>
      </w:r>
      <w:r w:rsidR="006F3181">
        <w:rPr>
          <w:bCs/>
        </w:rPr>
        <w:t xml:space="preserve">willing to limit the explanatory and predictive capacities of </w:t>
      </w:r>
      <w:r w:rsidR="007B4575">
        <w:rPr>
          <w:bCs/>
        </w:rPr>
        <w:t>the strategy</w:t>
      </w:r>
      <w:r w:rsidR="006F3181">
        <w:rPr>
          <w:bCs/>
        </w:rPr>
        <w:t>.</w:t>
      </w:r>
    </w:p>
    <w:p w14:paraId="1F400E21" w14:textId="59581FD8" w:rsidR="00F13F4D" w:rsidRDefault="00F13F4D" w:rsidP="00880ACB">
      <w:pPr>
        <w:pStyle w:val="Ting-Heading3"/>
        <w:jc w:val="both"/>
        <w:rPr>
          <w:bCs/>
        </w:rPr>
      </w:pPr>
      <w:r w:rsidRPr="000B45F2">
        <w:rPr>
          <w:bCs/>
        </w:rPr>
        <w:lastRenderedPageBreak/>
        <w:t>Rights and Reasons</w:t>
      </w:r>
    </w:p>
    <w:p w14:paraId="27F98088" w14:textId="183A09D9" w:rsidR="001B1BC7" w:rsidRPr="000B45F2" w:rsidRDefault="00B269CC" w:rsidP="00880ACB">
      <w:pPr>
        <w:jc w:val="both"/>
        <w:rPr>
          <w:bCs/>
        </w:rPr>
      </w:pPr>
      <w:r w:rsidRPr="000B45F2">
        <w:rPr>
          <w:bCs/>
        </w:rPr>
        <w:t>The first</w:t>
      </w:r>
      <w:r w:rsidR="00584CDE">
        <w:rPr>
          <w:bCs/>
        </w:rPr>
        <w:t xml:space="preserve"> issue</w:t>
      </w:r>
      <w:r w:rsidRPr="000B45F2">
        <w:rPr>
          <w:bCs/>
        </w:rPr>
        <w:t xml:space="preserve"> is a general </w:t>
      </w:r>
      <w:r w:rsidR="00064DE3" w:rsidRPr="000B45F2">
        <w:rPr>
          <w:bCs/>
        </w:rPr>
        <w:t>concern about the</w:t>
      </w:r>
      <w:r w:rsidRPr="000B45F2">
        <w:rPr>
          <w:bCs/>
        </w:rPr>
        <w:t xml:space="preserve"> relationship between r</w:t>
      </w:r>
      <w:r w:rsidR="00020400">
        <w:rPr>
          <w:bCs/>
        </w:rPr>
        <w:t>ights</w:t>
      </w:r>
      <w:r w:rsidR="005A5719">
        <w:rPr>
          <w:bCs/>
        </w:rPr>
        <w:t xml:space="preserve"> and reasons</w:t>
      </w:r>
      <w:r w:rsidRPr="000B45F2">
        <w:rPr>
          <w:bCs/>
        </w:rPr>
        <w:t>.</w:t>
      </w:r>
      <w:r w:rsidR="00736873" w:rsidRPr="000B45F2">
        <w:rPr>
          <w:bCs/>
        </w:rPr>
        <w:t xml:space="preserve"> </w:t>
      </w:r>
      <w:r w:rsidRPr="000B45F2">
        <w:rPr>
          <w:bCs/>
        </w:rPr>
        <w:t>Is</w:t>
      </w:r>
      <w:r w:rsidR="00705777" w:rsidRPr="000B45F2">
        <w:rPr>
          <w:bCs/>
        </w:rPr>
        <w:t xml:space="preserve"> the decision to appeal or waive one’s rights itself </w:t>
      </w:r>
      <w:r w:rsidR="002B45E1" w:rsidRPr="000B45F2">
        <w:rPr>
          <w:bCs/>
        </w:rPr>
        <w:t>an</w:t>
      </w:r>
      <w:r w:rsidR="00705777" w:rsidRPr="000B45F2">
        <w:rPr>
          <w:bCs/>
        </w:rPr>
        <w:t xml:space="preserve"> action that </w:t>
      </w:r>
      <w:r w:rsidR="00D212D1">
        <w:rPr>
          <w:bCs/>
        </w:rPr>
        <w:t xml:space="preserve">is </w:t>
      </w:r>
      <w:r w:rsidR="002B45E1" w:rsidRPr="000B45F2">
        <w:rPr>
          <w:bCs/>
        </w:rPr>
        <w:t>done for reasons</w:t>
      </w:r>
      <w:r w:rsidR="00705777" w:rsidRPr="000B45F2">
        <w:rPr>
          <w:bCs/>
        </w:rPr>
        <w:t>?</w:t>
      </w:r>
      <w:r w:rsidR="00030A11" w:rsidRPr="000B45F2">
        <w:rPr>
          <w:bCs/>
        </w:rPr>
        <w:t xml:space="preserve"> Recall </w:t>
      </w:r>
      <w:r w:rsidR="001B1BC7" w:rsidRPr="000B45F2">
        <w:rPr>
          <w:bCs/>
        </w:rPr>
        <w:t>that appealing to rights was supposed to provide an ag</w:t>
      </w:r>
      <w:r w:rsidR="00F00C99" w:rsidRPr="000B45F2">
        <w:rPr>
          <w:bCs/>
        </w:rPr>
        <w:t>ent with a protected sphere of agency under which she can choose as she sees fit.</w:t>
      </w:r>
      <w:r w:rsidR="00030A11" w:rsidRPr="000B45F2">
        <w:rPr>
          <w:bCs/>
        </w:rPr>
        <w:t xml:space="preserve"> If our ability to appeal to rights is itself reason</w:t>
      </w:r>
      <w:r w:rsidR="00020400">
        <w:rPr>
          <w:bCs/>
        </w:rPr>
        <w:t xml:space="preserve"> </w:t>
      </w:r>
      <w:r w:rsidR="00030A11" w:rsidRPr="000B45F2">
        <w:rPr>
          <w:bCs/>
        </w:rPr>
        <w:t>governed</w:t>
      </w:r>
      <w:r w:rsidR="001B1BC7" w:rsidRPr="000B45F2">
        <w:rPr>
          <w:bCs/>
        </w:rPr>
        <w:t xml:space="preserve"> (whatever those reasons might be) and those</w:t>
      </w:r>
      <w:r w:rsidR="002E1B9C" w:rsidRPr="000B45F2">
        <w:rPr>
          <w:bCs/>
        </w:rPr>
        <w:t xml:space="preserve"> reasons</w:t>
      </w:r>
      <w:r w:rsidR="00840B77" w:rsidRPr="000B45F2">
        <w:rPr>
          <w:bCs/>
        </w:rPr>
        <w:t xml:space="preserve"> </w:t>
      </w:r>
      <w:r w:rsidR="00F00C99" w:rsidRPr="000B45F2">
        <w:rPr>
          <w:bCs/>
        </w:rPr>
        <w:t>can</w:t>
      </w:r>
      <w:r w:rsidR="002E1B9C" w:rsidRPr="000B45F2">
        <w:rPr>
          <w:bCs/>
        </w:rPr>
        <w:t xml:space="preserve"> </w:t>
      </w:r>
      <w:r w:rsidR="00D90257" w:rsidRPr="000B45F2">
        <w:rPr>
          <w:bCs/>
        </w:rPr>
        <w:t xml:space="preserve">make it so that I ought </w:t>
      </w:r>
      <w:r w:rsidR="002E1B9C" w:rsidRPr="000B45F2">
        <w:rPr>
          <w:bCs/>
        </w:rPr>
        <w:t>to waive my rights</w:t>
      </w:r>
      <w:r w:rsidR="009619F4" w:rsidRPr="000B45F2">
        <w:rPr>
          <w:bCs/>
        </w:rPr>
        <w:t xml:space="preserve"> in a case like </w:t>
      </w:r>
      <w:r w:rsidR="00306A53" w:rsidRPr="000B45F2">
        <w:rPr>
          <w:bCs/>
        </w:rPr>
        <w:t>My Arm</w:t>
      </w:r>
      <w:r w:rsidR="002E1B9C" w:rsidRPr="000B45F2">
        <w:rPr>
          <w:bCs/>
        </w:rPr>
        <w:t>, then I would no longer be permitted to preserve my arm</w:t>
      </w:r>
      <w:r w:rsidR="00A22F5D" w:rsidRPr="000B45F2">
        <w:rPr>
          <w:bCs/>
        </w:rPr>
        <w:t xml:space="preserve"> </w:t>
      </w:r>
      <w:r w:rsidR="00840B77" w:rsidRPr="000B45F2">
        <w:rPr>
          <w:bCs/>
        </w:rPr>
        <w:t>as</w:t>
      </w:r>
      <w:r w:rsidR="00F00C99" w:rsidRPr="000B45F2">
        <w:rPr>
          <w:bCs/>
        </w:rPr>
        <w:t xml:space="preserve"> </w:t>
      </w:r>
      <w:r w:rsidR="00840B77" w:rsidRPr="000B45F2">
        <w:rPr>
          <w:bCs/>
        </w:rPr>
        <w:t>existing deontic weight would favor sacrificing it.</w:t>
      </w:r>
      <w:r w:rsidR="001B1BC7" w:rsidRPr="000B45F2">
        <w:rPr>
          <w:bCs/>
        </w:rPr>
        <w:t xml:space="preserve"> This runs contrary to our intuitions about the case.</w:t>
      </w:r>
    </w:p>
    <w:p w14:paraId="67D318E9" w14:textId="4FBD28C0" w:rsidR="00237737" w:rsidRPr="000B45F2" w:rsidRDefault="00237737" w:rsidP="00880ACB">
      <w:pPr>
        <w:jc w:val="both"/>
        <w:rPr>
          <w:bCs/>
        </w:rPr>
      </w:pPr>
      <w:r w:rsidRPr="000B45F2">
        <w:rPr>
          <w:bCs/>
        </w:rPr>
        <w:t xml:space="preserve">However, </w:t>
      </w:r>
      <w:r w:rsidR="00A22F5D" w:rsidRPr="000B45F2">
        <w:rPr>
          <w:bCs/>
        </w:rPr>
        <w:t xml:space="preserve">suppose that the decision to waive or appeal to rights is not </w:t>
      </w:r>
      <w:r w:rsidR="0085152E" w:rsidRPr="000B45F2">
        <w:rPr>
          <w:bCs/>
        </w:rPr>
        <w:t>reason</w:t>
      </w:r>
      <w:r w:rsidR="00020400">
        <w:rPr>
          <w:bCs/>
        </w:rPr>
        <w:t xml:space="preserve"> </w:t>
      </w:r>
      <w:r w:rsidR="0085152E" w:rsidRPr="000B45F2">
        <w:rPr>
          <w:bCs/>
        </w:rPr>
        <w:t>governed</w:t>
      </w:r>
      <w:r w:rsidR="00840B77" w:rsidRPr="000B45F2">
        <w:rPr>
          <w:bCs/>
        </w:rPr>
        <w:t>. There are difficulties here too. If decision</w:t>
      </w:r>
      <w:r w:rsidR="00AA0C89" w:rsidRPr="000B45F2">
        <w:rPr>
          <w:bCs/>
        </w:rPr>
        <w:t>s</w:t>
      </w:r>
      <w:r w:rsidR="00840B77" w:rsidRPr="000B45F2">
        <w:rPr>
          <w:bCs/>
        </w:rPr>
        <w:t xml:space="preserve"> to waive or appeal to rights depend</w:t>
      </w:r>
      <w:r w:rsidR="000A373F" w:rsidRPr="000B45F2">
        <w:rPr>
          <w:bCs/>
        </w:rPr>
        <w:t xml:space="preserve"> </w:t>
      </w:r>
      <w:r w:rsidR="00840B77" w:rsidRPr="000B45F2">
        <w:rPr>
          <w:bCs/>
        </w:rPr>
        <w:t>on normatively irrelevant</w:t>
      </w:r>
      <w:r w:rsidR="000A373F" w:rsidRPr="000B45F2">
        <w:rPr>
          <w:bCs/>
        </w:rPr>
        <w:t xml:space="preserve"> </w:t>
      </w:r>
      <w:r w:rsidR="00840B77" w:rsidRPr="000B45F2">
        <w:rPr>
          <w:bCs/>
        </w:rPr>
        <w:t>factors (</w:t>
      </w:r>
      <w:r w:rsidR="000A373F" w:rsidRPr="000B45F2">
        <w:rPr>
          <w:bCs/>
        </w:rPr>
        <w:t>e.g.</w:t>
      </w:r>
      <w:r w:rsidR="00C6758C">
        <w:rPr>
          <w:bCs/>
        </w:rPr>
        <w:t>,</w:t>
      </w:r>
      <w:r w:rsidR="00840B77" w:rsidRPr="000B45F2">
        <w:rPr>
          <w:bCs/>
        </w:rPr>
        <w:t xml:space="preserve"> the</w:t>
      </w:r>
      <w:r w:rsidR="00FA56FF" w:rsidRPr="000B45F2">
        <w:rPr>
          <w:bCs/>
        </w:rPr>
        <w:t xml:space="preserve"> psychological ability of an agent to resist social pressure</w:t>
      </w:r>
      <w:r w:rsidR="00840B77" w:rsidRPr="000B45F2">
        <w:rPr>
          <w:bCs/>
        </w:rPr>
        <w:t xml:space="preserve">, whether </w:t>
      </w:r>
      <w:r w:rsidR="00FA56FF" w:rsidRPr="000B45F2">
        <w:rPr>
          <w:bCs/>
        </w:rPr>
        <w:t>she</w:t>
      </w:r>
      <w:r w:rsidR="00840B77" w:rsidRPr="000B45F2">
        <w:rPr>
          <w:bCs/>
        </w:rPr>
        <w:t xml:space="preserve"> </w:t>
      </w:r>
      <w:r w:rsidR="00C167C6" w:rsidRPr="000B45F2">
        <w:rPr>
          <w:bCs/>
        </w:rPr>
        <w:t>had</w:t>
      </w:r>
      <w:r w:rsidR="00840B77" w:rsidRPr="000B45F2">
        <w:rPr>
          <w:bCs/>
        </w:rPr>
        <w:t xml:space="preserve"> </w:t>
      </w:r>
      <w:r w:rsidR="00FA56FF" w:rsidRPr="000B45F2">
        <w:rPr>
          <w:bCs/>
        </w:rPr>
        <w:t>recently</w:t>
      </w:r>
      <w:r w:rsidR="00840B77" w:rsidRPr="000B45F2">
        <w:rPr>
          <w:bCs/>
        </w:rPr>
        <w:t xml:space="preserve"> waived or appealed to her rights, whether she was recently reminde</w:t>
      </w:r>
      <w:r w:rsidR="00C167C6" w:rsidRPr="000B45F2">
        <w:rPr>
          <w:bCs/>
        </w:rPr>
        <w:t>d</w:t>
      </w:r>
      <w:r w:rsidR="00840B77" w:rsidRPr="000B45F2">
        <w:rPr>
          <w:bCs/>
        </w:rPr>
        <w:t xml:space="preserve"> of her</w:t>
      </w:r>
      <w:r w:rsidR="000A373F" w:rsidRPr="000B45F2">
        <w:rPr>
          <w:bCs/>
        </w:rPr>
        <w:t xml:space="preserve"> genuine</w:t>
      </w:r>
      <w:r w:rsidR="00840B77" w:rsidRPr="000B45F2">
        <w:rPr>
          <w:bCs/>
        </w:rPr>
        <w:t xml:space="preserve"> rights</w:t>
      </w:r>
      <w:r w:rsidR="00C167C6" w:rsidRPr="000B45F2">
        <w:rPr>
          <w:bCs/>
        </w:rPr>
        <w:t>, unaware of such rights,</w:t>
      </w:r>
      <w:r w:rsidR="000A373F" w:rsidRPr="000B45F2">
        <w:rPr>
          <w:bCs/>
        </w:rPr>
        <w:t xml:space="preserve"> or lied to</w:t>
      </w:r>
      <w:r w:rsidR="00840B77" w:rsidRPr="000B45F2">
        <w:rPr>
          <w:bCs/>
        </w:rPr>
        <w:t xml:space="preserve"> about the </w:t>
      </w:r>
      <w:r w:rsidR="00AA0C89" w:rsidRPr="000B45F2">
        <w:rPr>
          <w:bCs/>
        </w:rPr>
        <w:t>non-</w:t>
      </w:r>
      <w:r w:rsidR="00840B77" w:rsidRPr="000B45F2">
        <w:rPr>
          <w:bCs/>
        </w:rPr>
        <w:t xml:space="preserve">existence of </w:t>
      </w:r>
      <w:r w:rsidR="00FA56FF" w:rsidRPr="000B45F2">
        <w:rPr>
          <w:bCs/>
        </w:rPr>
        <w:t>said</w:t>
      </w:r>
      <w:r w:rsidR="000A373F" w:rsidRPr="000B45F2">
        <w:rPr>
          <w:bCs/>
        </w:rPr>
        <w:t xml:space="preserve"> </w:t>
      </w:r>
      <w:r w:rsidR="00840B77" w:rsidRPr="000B45F2">
        <w:rPr>
          <w:bCs/>
        </w:rPr>
        <w:t>rights, etc.),</w:t>
      </w:r>
      <w:r w:rsidR="00AA0C89" w:rsidRPr="000B45F2">
        <w:rPr>
          <w:bCs/>
        </w:rPr>
        <w:t xml:space="preserve"> then so would the normative status</w:t>
      </w:r>
      <w:r w:rsidR="00953E8D" w:rsidRPr="000B45F2">
        <w:rPr>
          <w:bCs/>
        </w:rPr>
        <w:t>es</w:t>
      </w:r>
      <w:r w:rsidR="00AA0C89" w:rsidRPr="000B45F2">
        <w:rPr>
          <w:bCs/>
        </w:rPr>
        <w:t xml:space="preserve"> of </w:t>
      </w:r>
      <w:r w:rsidR="000A373F" w:rsidRPr="000B45F2">
        <w:rPr>
          <w:bCs/>
        </w:rPr>
        <w:t xml:space="preserve">the </w:t>
      </w:r>
      <w:r w:rsidR="00AA0C89" w:rsidRPr="000B45F2">
        <w:rPr>
          <w:bCs/>
        </w:rPr>
        <w:t>actions that depend on those decisions.</w:t>
      </w:r>
      <w:r w:rsidR="009619F4" w:rsidRPr="000B45F2">
        <w:rPr>
          <w:rStyle w:val="FootnoteReference"/>
          <w:bCs/>
        </w:rPr>
        <w:footnoteReference w:id="27"/>
      </w:r>
      <w:r w:rsidR="000A373F" w:rsidRPr="000B45F2">
        <w:rPr>
          <w:bCs/>
        </w:rPr>
        <w:t xml:space="preserve"> </w:t>
      </w:r>
      <w:r w:rsidR="009619F4" w:rsidRPr="000B45F2">
        <w:rPr>
          <w:bCs/>
        </w:rPr>
        <w:t>Perhaps the normative status of actions is</w:t>
      </w:r>
      <w:r w:rsidR="000A373F" w:rsidRPr="000B45F2">
        <w:rPr>
          <w:bCs/>
        </w:rPr>
        <w:t xml:space="preserve"> </w:t>
      </w:r>
      <w:r w:rsidR="009715E6" w:rsidRPr="000B45F2">
        <w:rPr>
          <w:bCs/>
        </w:rPr>
        <w:t xml:space="preserve">contingent </w:t>
      </w:r>
      <w:r w:rsidR="000A373F" w:rsidRPr="000B45F2">
        <w:rPr>
          <w:bCs/>
        </w:rPr>
        <w:t xml:space="preserve">in this way, but this </w:t>
      </w:r>
      <w:r w:rsidR="009715E6" w:rsidRPr="000B45F2">
        <w:rPr>
          <w:bCs/>
        </w:rPr>
        <w:t>would conflict</w:t>
      </w:r>
      <w:r w:rsidR="000A373F" w:rsidRPr="000B45F2">
        <w:rPr>
          <w:bCs/>
        </w:rPr>
        <w:t xml:space="preserve"> with the idea that deontic statuses are, in principle, calculable.</w:t>
      </w:r>
    </w:p>
    <w:p w14:paraId="790E53E1" w14:textId="0D44FDC3" w:rsidR="008C75B3" w:rsidRPr="000B45F2" w:rsidRDefault="00375032" w:rsidP="00880ACB">
      <w:pPr>
        <w:jc w:val="both"/>
        <w:rPr>
          <w:bCs/>
        </w:rPr>
      </w:pPr>
      <w:r>
        <w:rPr>
          <w:bCs/>
        </w:rPr>
        <w:t>Mũnoz</w:t>
      </w:r>
      <w:r w:rsidR="008C75B3" w:rsidRPr="000B45F2">
        <w:rPr>
          <w:bCs/>
        </w:rPr>
        <w:t>’s response to these worries is to claim that agents not only have</w:t>
      </w:r>
      <w:r w:rsidR="0094435E" w:rsidRPr="000B45F2">
        <w:rPr>
          <w:bCs/>
        </w:rPr>
        <w:t xml:space="preserve"> first-order</w:t>
      </w:r>
      <w:r w:rsidR="008C75B3" w:rsidRPr="000B45F2">
        <w:rPr>
          <w:bCs/>
        </w:rPr>
        <w:t xml:space="preserve"> rights but also meta-rights </w:t>
      </w:r>
      <w:r w:rsidR="0094435E" w:rsidRPr="000B45F2">
        <w:rPr>
          <w:bCs/>
        </w:rPr>
        <w:t xml:space="preserve">to assert or waive said rights. </w:t>
      </w:r>
      <w:r w:rsidR="003F0E89" w:rsidRPr="000B45F2">
        <w:rPr>
          <w:bCs/>
        </w:rPr>
        <w:t xml:space="preserve">By appealing to </w:t>
      </w:r>
      <w:r w:rsidR="00DC15F4">
        <w:rPr>
          <w:bCs/>
        </w:rPr>
        <w:t>said</w:t>
      </w:r>
      <w:r w:rsidR="003F0E89" w:rsidRPr="000B45F2">
        <w:rPr>
          <w:bCs/>
        </w:rPr>
        <w:t xml:space="preserve"> meta-rights, agents can resist </w:t>
      </w:r>
      <w:r w:rsidR="0094435E" w:rsidRPr="000B45F2">
        <w:rPr>
          <w:bCs/>
        </w:rPr>
        <w:t xml:space="preserve">any potential </w:t>
      </w:r>
      <w:r w:rsidR="003F0E89" w:rsidRPr="000B45F2">
        <w:rPr>
          <w:bCs/>
        </w:rPr>
        <w:t xml:space="preserve">reasons to assert or waive their first-order rights. </w:t>
      </w:r>
      <w:r w:rsidR="00354A7D" w:rsidRPr="000B45F2">
        <w:rPr>
          <w:bCs/>
        </w:rPr>
        <w:t xml:space="preserve">The strategy would work if these meta-rights </w:t>
      </w:r>
      <w:proofErr w:type="gramStart"/>
      <w:r w:rsidR="00354A7D" w:rsidRPr="000B45F2">
        <w:rPr>
          <w:bCs/>
        </w:rPr>
        <w:t>are</w:t>
      </w:r>
      <w:proofErr w:type="gramEnd"/>
      <w:r w:rsidR="00354A7D" w:rsidRPr="000B45F2">
        <w:rPr>
          <w:bCs/>
        </w:rPr>
        <w:t xml:space="preserve"> immune to the countervailing deontic weight of reasons. Yet, </w:t>
      </w:r>
      <w:r>
        <w:rPr>
          <w:bCs/>
        </w:rPr>
        <w:t>Mũnoz</w:t>
      </w:r>
      <w:r w:rsidR="00354A7D" w:rsidRPr="000B45F2">
        <w:rPr>
          <w:bCs/>
        </w:rPr>
        <w:t xml:space="preserve"> thinks that rights (and </w:t>
      </w:r>
      <w:r w:rsidR="00B212F8" w:rsidRPr="000B45F2">
        <w:rPr>
          <w:bCs/>
        </w:rPr>
        <w:t xml:space="preserve">presumably corresponding </w:t>
      </w:r>
      <w:r w:rsidR="00354A7D" w:rsidRPr="000B45F2">
        <w:rPr>
          <w:bCs/>
        </w:rPr>
        <w:t xml:space="preserve">meta-rights) </w:t>
      </w:r>
      <w:r w:rsidR="00B212F8" w:rsidRPr="000B45F2">
        <w:rPr>
          <w:bCs/>
        </w:rPr>
        <w:t xml:space="preserve">themselves have deontic weight </w:t>
      </w:r>
      <w:r w:rsidR="00EB13A1">
        <w:rPr>
          <w:bCs/>
        </w:rPr>
        <w:t>which means they can be</w:t>
      </w:r>
      <w:r w:rsidR="00354A7D" w:rsidRPr="000B45F2">
        <w:rPr>
          <w:bCs/>
        </w:rPr>
        <w:t xml:space="preserve"> outweighed</w:t>
      </w:r>
      <w:r w:rsidR="007E0410" w:rsidRPr="000B45F2">
        <w:rPr>
          <w:bCs/>
        </w:rPr>
        <w:t xml:space="preserve"> by reasons</w:t>
      </w:r>
      <w:r w:rsidR="00354A7D" w:rsidRPr="000B45F2">
        <w:rPr>
          <w:bCs/>
        </w:rPr>
        <w:t>.</w:t>
      </w:r>
      <w:r w:rsidR="00354A7D" w:rsidRPr="000B45F2">
        <w:rPr>
          <w:rStyle w:val="FootnoteReference"/>
          <w:bCs/>
        </w:rPr>
        <w:footnoteReference w:id="28"/>
      </w:r>
      <w:r w:rsidR="002B193D" w:rsidRPr="000B45F2">
        <w:rPr>
          <w:bCs/>
        </w:rPr>
        <w:t xml:space="preserve"> If so, then the problem persists even at the level of meta-rights. Granted,</w:t>
      </w:r>
      <w:r w:rsidR="00060426" w:rsidRPr="000B45F2">
        <w:rPr>
          <w:bCs/>
        </w:rPr>
        <w:t xml:space="preserve"> such rights and meta-rights </w:t>
      </w:r>
      <w:r w:rsidR="002B193D" w:rsidRPr="000B45F2">
        <w:rPr>
          <w:bCs/>
        </w:rPr>
        <w:t xml:space="preserve">may be </w:t>
      </w:r>
      <w:r w:rsidR="00060426" w:rsidRPr="000B45F2">
        <w:rPr>
          <w:bCs/>
        </w:rPr>
        <w:t>relatively weighty</w:t>
      </w:r>
      <w:r w:rsidR="004F4973" w:rsidRPr="000B45F2">
        <w:rPr>
          <w:bCs/>
        </w:rPr>
        <w:t xml:space="preserve"> which allows us to get the </w:t>
      </w:r>
      <w:r w:rsidR="00060426" w:rsidRPr="000B45F2">
        <w:rPr>
          <w:bCs/>
        </w:rPr>
        <w:t xml:space="preserve">verdicts we want in cases like Exercise or Couch. </w:t>
      </w:r>
      <w:r w:rsidR="00331385">
        <w:rPr>
          <w:bCs/>
        </w:rPr>
        <w:t>This</w:t>
      </w:r>
      <w:r w:rsidR="004F4973" w:rsidRPr="000B45F2">
        <w:rPr>
          <w:bCs/>
        </w:rPr>
        <w:t xml:space="preserve"> makes the need for a</w:t>
      </w:r>
      <w:r w:rsidR="007E0410" w:rsidRPr="000B45F2">
        <w:rPr>
          <w:bCs/>
        </w:rPr>
        <w:t xml:space="preserve"> substantive theory of how such rights (and meta-rights) are grounded and how they are weighed</w:t>
      </w:r>
      <w:r w:rsidR="004F4973" w:rsidRPr="000B45F2">
        <w:rPr>
          <w:bCs/>
        </w:rPr>
        <w:t xml:space="preserve"> pressing</w:t>
      </w:r>
      <w:r w:rsidR="00331385">
        <w:rPr>
          <w:bCs/>
        </w:rPr>
        <w:t xml:space="preserve"> (our third issue).</w:t>
      </w:r>
    </w:p>
    <w:p w14:paraId="3BFD8391" w14:textId="168B3662" w:rsidR="00B269CC" w:rsidRPr="000B45F2" w:rsidRDefault="00FE5E6A" w:rsidP="00880ACB">
      <w:pPr>
        <w:pStyle w:val="Ting-Heading3"/>
        <w:jc w:val="both"/>
        <w:rPr>
          <w:bCs/>
        </w:rPr>
      </w:pPr>
      <w:r w:rsidRPr="000B45F2">
        <w:rPr>
          <w:bCs/>
        </w:rPr>
        <w:t>Extensional Adequacy</w:t>
      </w:r>
    </w:p>
    <w:p w14:paraId="666A5883" w14:textId="70A2E78B" w:rsidR="00AA0C89" w:rsidRPr="000B45F2" w:rsidRDefault="00563FB7" w:rsidP="00880ACB">
      <w:pPr>
        <w:jc w:val="both"/>
        <w:rPr>
          <w:bCs/>
        </w:rPr>
      </w:pPr>
      <w:r>
        <w:rPr>
          <w:bCs/>
        </w:rPr>
        <w:lastRenderedPageBreak/>
        <w:t xml:space="preserve">Before turning to </w:t>
      </w:r>
      <w:r w:rsidR="00307E7F">
        <w:rPr>
          <w:bCs/>
        </w:rPr>
        <w:t>that issue</w:t>
      </w:r>
      <w:r>
        <w:rPr>
          <w:bCs/>
        </w:rPr>
        <w:t>,</w:t>
      </w:r>
      <w:r w:rsidR="00AE1E6E" w:rsidRPr="000B45F2">
        <w:rPr>
          <w:bCs/>
        </w:rPr>
        <w:t xml:space="preserve"> </w:t>
      </w:r>
      <w:r w:rsidR="00307E7F">
        <w:rPr>
          <w:bCs/>
        </w:rPr>
        <w:t xml:space="preserve">first </w:t>
      </w:r>
      <w:r w:rsidR="00AE1E6E" w:rsidRPr="000B45F2">
        <w:rPr>
          <w:bCs/>
        </w:rPr>
        <w:t>consider</w:t>
      </w:r>
      <w:r w:rsidR="005A1621" w:rsidRPr="000B45F2">
        <w:rPr>
          <w:bCs/>
        </w:rPr>
        <w:t xml:space="preserve"> </w:t>
      </w:r>
      <w:r>
        <w:rPr>
          <w:bCs/>
        </w:rPr>
        <w:t xml:space="preserve">the issue of </w:t>
      </w:r>
      <w:r w:rsidR="005A1621" w:rsidRPr="000B45F2">
        <w:rPr>
          <w:bCs/>
        </w:rPr>
        <w:t>extensional adequacy.</w:t>
      </w:r>
      <w:r w:rsidR="00576170" w:rsidRPr="000B45F2">
        <w:rPr>
          <w:bCs/>
        </w:rPr>
        <w:t xml:space="preserve"> </w:t>
      </w:r>
      <w:r>
        <w:rPr>
          <w:bCs/>
        </w:rPr>
        <w:t>In explaining</w:t>
      </w:r>
      <w:r w:rsidR="00576170" w:rsidRPr="000B45F2">
        <w:rPr>
          <w:bCs/>
        </w:rPr>
        <w:t xml:space="preserve"> </w:t>
      </w:r>
      <w:r w:rsidR="00493E6A" w:rsidRPr="000B45F2">
        <w:rPr>
          <w:bCs/>
        </w:rPr>
        <w:t>patient</w:t>
      </w:r>
      <w:r w:rsidR="00576170" w:rsidRPr="000B45F2">
        <w:rPr>
          <w:bCs/>
        </w:rPr>
        <w:t>-centered restrictions</w:t>
      </w:r>
      <w:r>
        <w:rPr>
          <w:bCs/>
        </w:rPr>
        <w:t>, t</w:t>
      </w:r>
      <w:r w:rsidR="00576170" w:rsidRPr="000B45F2">
        <w:rPr>
          <w:bCs/>
        </w:rPr>
        <w:t xml:space="preserve">he appeal to rights seems plausible because such restrictions seem to be grounded in features of the </w:t>
      </w:r>
      <w:r w:rsidR="00576170" w:rsidRPr="000B45F2">
        <w:rPr>
          <w:bCs/>
          <w:i/>
          <w:iCs/>
        </w:rPr>
        <w:t>patient</w:t>
      </w:r>
      <w:r w:rsidR="00576170" w:rsidRPr="000B45F2">
        <w:rPr>
          <w:bCs/>
        </w:rPr>
        <w:t xml:space="preserve"> rather than the </w:t>
      </w:r>
      <w:r w:rsidR="00576170" w:rsidRPr="000B45F2">
        <w:rPr>
          <w:bCs/>
          <w:i/>
          <w:iCs/>
        </w:rPr>
        <w:t>agent</w:t>
      </w:r>
      <w:r w:rsidR="00576170" w:rsidRPr="000B45F2">
        <w:rPr>
          <w:bCs/>
        </w:rPr>
        <w:t xml:space="preserve">. However, we still need to ask exactly how the restriction is generated. </w:t>
      </w:r>
      <w:r w:rsidR="00A01FEC" w:rsidRPr="000B45F2">
        <w:rPr>
          <w:bCs/>
        </w:rPr>
        <w:t>Recall that the</w:t>
      </w:r>
      <w:r w:rsidR="00576170" w:rsidRPr="000B45F2">
        <w:rPr>
          <w:bCs/>
        </w:rPr>
        <w:t xml:space="preserve"> restrictions depend on our acknowledging that patients have a similar ability to assert deontic weight</w:t>
      </w:r>
      <w:r w:rsidR="00C167C6" w:rsidRPr="000B45F2">
        <w:rPr>
          <w:bCs/>
        </w:rPr>
        <w:t xml:space="preserve"> as we do</w:t>
      </w:r>
      <w:r w:rsidR="00576170" w:rsidRPr="000B45F2">
        <w:rPr>
          <w:bCs/>
        </w:rPr>
        <w:t>. But how exactly does this work? In particular,</w:t>
      </w:r>
      <w:r w:rsidR="0049460B" w:rsidRPr="000B45F2">
        <w:rPr>
          <w:bCs/>
        </w:rPr>
        <w:t xml:space="preserve"> </w:t>
      </w:r>
      <w:r w:rsidR="00FE3B09" w:rsidRPr="000B45F2">
        <w:rPr>
          <w:bCs/>
        </w:rPr>
        <w:t>does the existence or absence of the restriction depend on an explicit assertion or waiving of a right?</w:t>
      </w:r>
    </w:p>
    <w:p w14:paraId="16AE72A5" w14:textId="4A0CBD6E" w:rsidR="00F64CFB" w:rsidRPr="000B45F2" w:rsidRDefault="003117BA" w:rsidP="00880ACB">
      <w:pPr>
        <w:jc w:val="both"/>
        <w:rPr>
          <w:bCs/>
        </w:rPr>
      </w:pPr>
      <w:r w:rsidRPr="000B45F2">
        <w:rPr>
          <w:bCs/>
        </w:rPr>
        <w:t xml:space="preserve">Suppose it does. </w:t>
      </w:r>
      <w:r w:rsidR="00F837D4" w:rsidRPr="000B45F2">
        <w:rPr>
          <w:bCs/>
        </w:rPr>
        <w:t xml:space="preserve">The problem with this answer is that the restriction </w:t>
      </w:r>
      <w:r w:rsidR="00CA0882" w:rsidRPr="000B45F2">
        <w:rPr>
          <w:bCs/>
        </w:rPr>
        <w:t xml:space="preserve">presumably exists </w:t>
      </w:r>
      <w:r w:rsidR="00F837D4" w:rsidRPr="000B45F2">
        <w:rPr>
          <w:bCs/>
        </w:rPr>
        <w:t xml:space="preserve">prior to </w:t>
      </w:r>
      <w:r w:rsidR="00BC09A1" w:rsidRPr="000B45F2">
        <w:rPr>
          <w:bCs/>
        </w:rPr>
        <w:t xml:space="preserve">a patient’s </w:t>
      </w:r>
      <w:r w:rsidR="00F837D4" w:rsidRPr="000B45F2">
        <w:rPr>
          <w:bCs/>
        </w:rPr>
        <w:t>explicit assertion of</w:t>
      </w:r>
      <w:r w:rsidR="00CA0882" w:rsidRPr="000B45F2">
        <w:rPr>
          <w:bCs/>
        </w:rPr>
        <w:t xml:space="preserve"> her</w:t>
      </w:r>
      <w:r w:rsidR="00F837D4" w:rsidRPr="000B45F2">
        <w:rPr>
          <w:bCs/>
        </w:rPr>
        <w:t xml:space="preserve"> rights</w:t>
      </w:r>
      <w:r w:rsidR="003202A4" w:rsidRPr="000B45F2">
        <w:rPr>
          <w:bCs/>
        </w:rPr>
        <w:t xml:space="preserve"> and the agent’s acknowledgement of </w:t>
      </w:r>
      <w:r w:rsidR="007454D1" w:rsidRPr="000B45F2">
        <w:rPr>
          <w:bCs/>
        </w:rPr>
        <w:t>that</w:t>
      </w:r>
      <w:r w:rsidR="003202A4" w:rsidRPr="000B45F2">
        <w:rPr>
          <w:bCs/>
        </w:rPr>
        <w:t xml:space="preserve"> assertion</w:t>
      </w:r>
      <w:r w:rsidR="00F837D4" w:rsidRPr="000B45F2">
        <w:rPr>
          <w:bCs/>
        </w:rPr>
        <w:t xml:space="preserve">. </w:t>
      </w:r>
      <w:r w:rsidR="00C167C6" w:rsidRPr="000B45F2">
        <w:rPr>
          <w:bCs/>
        </w:rPr>
        <w:t xml:space="preserve">For example, in </w:t>
      </w:r>
      <w:r w:rsidR="00306A53" w:rsidRPr="000B45F2">
        <w:rPr>
          <w:bCs/>
        </w:rPr>
        <w:t>Your Arm</w:t>
      </w:r>
      <w:r w:rsidR="00F837D4" w:rsidRPr="000B45F2">
        <w:rPr>
          <w:bCs/>
        </w:rPr>
        <w:t>, the restriction against pushing the button</w:t>
      </w:r>
      <w:r w:rsidR="008326DF">
        <w:rPr>
          <w:bCs/>
        </w:rPr>
        <w:t xml:space="preserve"> plausibly</w:t>
      </w:r>
      <w:r w:rsidR="00F837D4" w:rsidRPr="000B45F2">
        <w:rPr>
          <w:bCs/>
        </w:rPr>
        <w:t xml:space="preserve"> </w:t>
      </w:r>
      <w:r w:rsidR="00CA0882" w:rsidRPr="000B45F2">
        <w:rPr>
          <w:bCs/>
        </w:rPr>
        <w:t>exists</w:t>
      </w:r>
      <w:r w:rsidR="00F837D4" w:rsidRPr="000B45F2">
        <w:rPr>
          <w:bCs/>
        </w:rPr>
        <w:t xml:space="preserve"> </w:t>
      </w:r>
      <w:r w:rsidR="00F837D4" w:rsidRPr="000B45F2">
        <w:rPr>
          <w:bCs/>
          <w:i/>
          <w:iCs/>
        </w:rPr>
        <w:t>prior</w:t>
      </w:r>
      <w:r w:rsidR="00F837D4" w:rsidRPr="000B45F2">
        <w:rPr>
          <w:bCs/>
        </w:rPr>
        <w:t xml:space="preserve"> to </w:t>
      </w:r>
      <w:r w:rsidR="00CA0882" w:rsidRPr="000B45F2">
        <w:rPr>
          <w:bCs/>
        </w:rPr>
        <w:t>your</w:t>
      </w:r>
      <w:r w:rsidR="00F837D4" w:rsidRPr="000B45F2">
        <w:rPr>
          <w:bCs/>
        </w:rPr>
        <w:t xml:space="preserve"> explicit assertion of rights </w:t>
      </w:r>
      <w:r w:rsidR="00CA0882" w:rsidRPr="000B45F2">
        <w:rPr>
          <w:bCs/>
        </w:rPr>
        <w:t>and</w:t>
      </w:r>
      <w:r w:rsidR="00BC09A1" w:rsidRPr="000B45F2">
        <w:rPr>
          <w:bCs/>
        </w:rPr>
        <w:t xml:space="preserve"> my acknowledgement of that assertion.</w:t>
      </w:r>
      <w:r w:rsidR="00F837D4" w:rsidRPr="000B45F2">
        <w:rPr>
          <w:bCs/>
        </w:rPr>
        <w:t xml:space="preserve"> In fact, the case is set up such that </w:t>
      </w:r>
      <w:r w:rsidR="00BC09A1" w:rsidRPr="000B45F2">
        <w:rPr>
          <w:bCs/>
        </w:rPr>
        <w:t xml:space="preserve">I cannot know what your response is from the control tower. </w:t>
      </w:r>
    </w:p>
    <w:p w14:paraId="3565A199" w14:textId="76B28259" w:rsidR="005B6D32" w:rsidRPr="000B45F2" w:rsidRDefault="00F64CFB" w:rsidP="00880ACB">
      <w:pPr>
        <w:jc w:val="both"/>
        <w:rPr>
          <w:bCs/>
        </w:rPr>
      </w:pPr>
      <w:r w:rsidRPr="000B45F2">
        <w:rPr>
          <w:bCs/>
        </w:rPr>
        <w:t xml:space="preserve">The </w:t>
      </w:r>
      <w:r w:rsidR="0035026C" w:rsidRPr="000B45F2">
        <w:rPr>
          <w:bCs/>
        </w:rPr>
        <w:t>workaround</w:t>
      </w:r>
      <w:r w:rsidRPr="000B45F2">
        <w:rPr>
          <w:bCs/>
        </w:rPr>
        <w:t xml:space="preserve"> is to</w:t>
      </w:r>
      <w:r w:rsidR="00572139" w:rsidRPr="000B45F2">
        <w:rPr>
          <w:bCs/>
        </w:rPr>
        <w:t xml:space="preserve"> ground the restriction on </w:t>
      </w:r>
      <w:r w:rsidR="00C167C6" w:rsidRPr="000B45F2">
        <w:rPr>
          <w:bCs/>
        </w:rPr>
        <w:t>my</w:t>
      </w:r>
      <w:r w:rsidR="00572139" w:rsidRPr="000B45F2">
        <w:rPr>
          <w:bCs/>
        </w:rPr>
        <w:t xml:space="preserve"> expectation </w:t>
      </w:r>
      <w:r w:rsidR="00C167C6" w:rsidRPr="000B45F2">
        <w:rPr>
          <w:bCs/>
        </w:rPr>
        <w:t>that you</w:t>
      </w:r>
      <w:r w:rsidR="00572139" w:rsidRPr="000B45F2">
        <w:rPr>
          <w:bCs/>
        </w:rPr>
        <w:t xml:space="preserve"> </w:t>
      </w:r>
      <w:r w:rsidR="00572139" w:rsidRPr="000B45F2">
        <w:rPr>
          <w:bCs/>
          <w:i/>
          <w:iCs/>
        </w:rPr>
        <w:t>would</w:t>
      </w:r>
      <w:r w:rsidR="00572139" w:rsidRPr="000B45F2">
        <w:rPr>
          <w:bCs/>
        </w:rPr>
        <w:t xml:space="preserve"> assert </w:t>
      </w:r>
      <w:r w:rsidR="006B0568" w:rsidRPr="000B45F2">
        <w:rPr>
          <w:bCs/>
        </w:rPr>
        <w:t>your</w:t>
      </w:r>
      <w:r w:rsidR="00572139" w:rsidRPr="000B45F2">
        <w:rPr>
          <w:bCs/>
        </w:rPr>
        <w:t xml:space="preserve"> rights</w:t>
      </w:r>
      <w:r w:rsidR="00554410" w:rsidRPr="000B45F2">
        <w:rPr>
          <w:bCs/>
        </w:rPr>
        <w:t xml:space="preserve"> in order to block my </w:t>
      </w:r>
      <w:r w:rsidR="009B3E4D" w:rsidRPr="000B45F2">
        <w:rPr>
          <w:bCs/>
        </w:rPr>
        <w:t>pushing the button</w:t>
      </w:r>
      <w:r w:rsidR="000C3B1E" w:rsidRPr="000B45F2">
        <w:rPr>
          <w:bCs/>
        </w:rPr>
        <w:t xml:space="preserve"> even </w:t>
      </w:r>
      <w:r w:rsidR="006360B3" w:rsidRPr="000B45F2">
        <w:rPr>
          <w:bCs/>
        </w:rPr>
        <w:t>if such an assertion is never</w:t>
      </w:r>
      <w:r w:rsidR="000C3B1E" w:rsidRPr="000B45F2">
        <w:rPr>
          <w:bCs/>
        </w:rPr>
        <w:t xml:space="preserve"> made explicit and I cannot become aware of it</w:t>
      </w:r>
      <w:r w:rsidR="00554410" w:rsidRPr="000B45F2">
        <w:rPr>
          <w:bCs/>
        </w:rPr>
        <w:t>.</w:t>
      </w:r>
      <w:r w:rsidR="000C3B1E" w:rsidRPr="000B45F2">
        <w:rPr>
          <w:bCs/>
        </w:rPr>
        <w:t xml:space="preserve"> The problem with this proposal is that </w:t>
      </w:r>
      <w:r w:rsidR="009B3E4D" w:rsidRPr="000B45F2">
        <w:rPr>
          <w:bCs/>
        </w:rPr>
        <w:t xml:space="preserve">the </w:t>
      </w:r>
      <w:r w:rsidR="006D5C0B" w:rsidRPr="000B45F2">
        <w:rPr>
          <w:bCs/>
        </w:rPr>
        <w:t xml:space="preserve">restriction </w:t>
      </w:r>
      <w:r w:rsidR="00C167C6" w:rsidRPr="000B45F2">
        <w:rPr>
          <w:bCs/>
        </w:rPr>
        <w:t xml:space="preserve">seems to </w:t>
      </w:r>
      <w:r w:rsidR="006D5C0B" w:rsidRPr="000B45F2">
        <w:rPr>
          <w:bCs/>
        </w:rPr>
        <w:t>exist independently of whether I expect</w:t>
      </w:r>
      <w:r w:rsidR="00135505" w:rsidRPr="000B45F2">
        <w:rPr>
          <w:bCs/>
        </w:rPr>
        <w:t xml:space="preserve"> </w:t>
      </w:r>
      <w:r w:rsidR="006B0568" w:rsidRPr="000B45F2">
        <w:rPr>
          <w:bCs/>
        </w:rPr>
        <w:t>you</w:t>
      </w:r>
      <w:r w:rsidR="006D5C0B" w:rsidRPr="000B45F2">
        <w:rPr>
          <w:bCs/>
        </w:rPr>
        <w:t xml:space="preserve"> to</w:t>
      </w:r>
      <w:r w:rsidR="00F62C3F" w:rsidRPr="000B45F2">
        <w:rPr>
          <w:bCs/>
        </w:rPr>
        <w:t xml:space="preserve"> </w:t>
      </w:r>
      <w:r w:rsidR="006D5C0B" w:rsidRPr="000B45F2">
        <w:rPr>
          <w:bCs/>
        </w:rPr>
        <w:t xml:space="preserve">omit asserting </w:t>
      </w:r>
      <w:r w:rsidR="006B0568" w:rsidRPr="000B45F2">
        <w:rPr>
          <w:bCs/>
        </w:rPr>
        <w:t>your</w:t>
      </w:r>
      <w:r w:rsidR="006D5C0B" w:rsidRPr="000B45F2">
        <w:rPr>
          <w:bCs/>
        </w:rPr>
        <w:t xml:space="preserve"> rights or</w:t>
      </w:r>
      <w:r w:rsidR="0035026C" w:rsidRPr="000B45F2">
        <w:rPr>
          <w:bCs/>
        </w:rPr>
        <w:t xml:space="preserve"> even if I expect you to </w:t>
      </w:r>
      <w:r w:rsidR="00F62C3F" w:rsidRPr="000B45F2">
        <w:rPr>
          <w:bCs/>
        </w:rPr>
        <w:t>waive the</w:t>
      </w:r>
      <w:r w:rsidR="00AB3BF4" w:rsidRPr="000B45F2">
        <w:rPr>
          <w:bCs/>
        </w:rPr>
        <w:t>m.</w:t>
      </w:r>
      <w:r w:rsidR="0079106E" w:rsidRPr="000B45F2">
        <w:rPr>
          <w:bCs/>
        </w:rPr>
        <w:t xml:space="preserve"> For example, </w:t>
      </w:r>
      <w:r w:rsidR="0001717B">
        <w:rPr>
          <w:bCs/>
        </w:rPr>
        <w:t xml:space="preserve">suppose </w:t>
      </w:r>
      <w:r w:rsidR="0079106E" w:rsidRPr="000B45F2">
        <w:rPr>
          <w:bCs/>
        </w:rPr>
        <w:t>I know that you are a pushover that will waive your rights</w:t>
      </w:r>
      <w:r w:rsidR="00BE706C" w:rsidRPr="000B45F2">
        <w:rPr>
          <w:bCs/>
        </w:rPr>
        <w:t xml:space="preserve"> or a</w:t>
      </w:r>
      <w:r w:rsidR="0001717B">
        <w:rPr>
          <w:bCs/>
        </w:rPr>
        <w:t>re a</w:t>
      </w:r>
      <w:r w:rsidR="008B635A" w:rsidRPr="000B45F2">
        <w:rPr>
          <w:bCs/>
        </w:rPr>
        <w:t xml:space="preserve"> </w:t>
      </w:r>
      <w:r w:rsidR="0079106E" w:rsidRPr="000B45F2">
        <w:rPr>
          <w:bCs/>
        </w:rPr>
        <w:t>devotee to the impartial good</w:t>
      </w:r>
      <w:r w:rsidR="0001717B">
        <w:rPr>
          <w:bCs/>
        </w:rPr>
        <w:t>. T</w:t>
      </w:r>
      <w:r w:rsidR="0079106E" w:rsidRPr="000B45F2">
        <w:rPr>
          <w:bCs/>
        </w:rPr>
        <w:t xml:space="preserve">here still seems to be a restriction against pushing the button in </w:t>
      </w:r>
      <w:r w:rsidR="00306A53" w:rsidRPr="000B45F2">
        <w:rPr>
          <w:bCs/>
        </w:rPr>
        <w:t>Your Arm</w:t>
      </w:r>
      <w:r w:rsidR="0079106E" w:rsidRPr="000B45F2">
        <w:rPr>
          <w:bCs/>
        </w:rPr>
        <w:t>.</w:t>
      </w:r>
      <w:r w:rsidR="00392D9C">
        <w:rPr>
          <w:rStyle w:val="FootnoteReference"/>
          <w:bCs/>
        </w:rPr>
        <w:footnoteReference w:id="29"/>
      </w:r>
      <w:r w:rsidR="0079106E" w:rsidRPr="000B45F2">
        <w:rPr>
          <w:bCs/>
        </w:rPr>
        <w:t xml:space="preserve"> </w:t>
      </w:r>
      <w:r w:rsidR="00176773" w:rsidRPr="000B45F2">
        <w:rPr>
          <w:bCs/>
        </w:rPr>
        <w:t xml:space="preserve">In fact, it seems that the restriction is lifted only when I </w:t>
      </w:r>
      <w:r w:rsidR="006B0568" w:rsidRPr="000B45F2">
        <w:rPr>
          <w:bCs/>
        </w:rPr>
        <w:t>know that you have explicitly waived your rights (i.e.</w:t>
      </w:r>
      <w:r w:rsidR="008F1CDB">
        <w:rPr>
          <w:bCs/>
        </w:rPr>
        <w:t>,</w:t>
      </w:r>
      <w:r w:rsidR="006B0568" w:rsidRPr="000B45F2">
        <w:rPr>
          <w:bCs/>
        </w:rPr>
        <w:t xml:space="preserve"> you explicitly</w:t>
      </w:r>
      <w:r w:rsidR="00176773" w:rsidRPr="000B45F2">
        <w:rPr>
          <w:bCs/>
        </w:rPr>
        <w:t xml:space="preserve"> consent to my </w:t>
      </w:r>
      <w:r w:rsidR="006B0568" w:rsidRPr="000B45F2">
        <w:rPr>
          <w:bCs/>
        </w:rPr>
        <w:t xml:space="preserve">pushing the button). </w:t>
      </w:r>
    </w:p>
    <w:p w14:paraId="2856D16F" w14:textId="547E88BE" w:rsidR="00FE5E6A" w:rsidRPr="000B45F2" w:rsidRDefault="002C5C0B" w:rsidP="00880ACB">
      <w:pPr>
        <w:jc w:val="both"/>
        <w:rPr>
          <w:bCs/>
        </w:rPr>
      </w:pPr>
      <w:r w:rsidRPr="000B45F2">
        <w:rPr>
          <w:bCs/>
        </w:rPr>
        <w:t>Even if</w:t>
      </w:r>
      <w:r w:rsidR="00094C4C" w:rsidRPr="000B45F2">
        <w:rPr>
          <w:bCs/>
        </w:rPr>
        <w:t xml:space="preserve"> </w:t>
      </w:r>
      <w:r w:rsidR="0035026C" w:rsidRPr="000B45F2">
        <w:rPr>
          <w:bCs/>
        </w:rPr>
        <w:t>we</w:t>
      </w:r>
      <w:r w:rsidR="00C167C6" w:rsidRPr="000B45F2">
        <w:rPr>
          <w:bCs/>
        </w:rPr>
        <w:t xml:space="preserve"> do</w:t>
      </w:r>
      <w:r w:rsidR="00094C4C" w:rsidRPr="000B45F2">
        <w:rPr>
          <w:bCs/>
        </w:rPr>
        <w:t xml:space="preserve"> grant that the existence of </w:t>
      </w:r>
      <w:r w:rsidR="00520FA9" w:rsidRPr="000B45F2">
        <w:rPr>
          <w:bCs/>
        </w:rPr>
        <w:t xml:space="preserve">a </w:t>
      </w:r>
      <w:r w:rsidR="00094C4C" w:rsidRPr="000B45F2">
        <w:rPr>
          <w:bCs/>
        </w:rPr>
        <w:t>restriction</w:t>
      </w:r>
      <w:r w:rsidR="00E30B84" w:rsidRPr="000B45F2">
        <w:rPr>
          <w:bCs/>
        </w:rPr>
        <w:t xml:space="preserve"> </w:t>
      </w:r>
      <w:r w:rsidR="00520FA9" w:rsidRPr="000B45F2">
        <w:rPr>
          <w:bCs/>
        </w:rPr>
        <w:t xml:space="preserve">does </w:t>
      </w:r>
      <w:r w:rsidR="00094C4C" w:rsidRPr="000B45F2">
        <w:rPr>
          <w:bCs/>
        </w:rPr>
        <w:t>depend on</w:t>
      </w:r>
      <w:r w:rsidR="0079106E" w:rsidRPr="000B45F2">
        <w:rPr>
          <w:bCs/>
        </w:rPr>
        <w:t xml:space="preserve"> our</w:t>
      </w:r>
      <w:r w:rsidR="00094C4C" w:rsidRPr="000B45F2">
        <w:rPr>
          <w:bCs/>
        </w:rPr>
        <w:t xml:space="preserve"> expectations of wh</w:t>
      </w:r>
      <w:r w:rsidR="002D02A0" w:rsidRPr="000B45F2">
        <w:rPr>
          <w:bCs/>
        </w:rPr>
        <w:t>at a patient’s response will be</w:t>
      </w:r>
      <w:r w:rsidRPr="000B45F2">
        <w:rPr>
          <w:bCs/>
        </w:rPr>
        <w:t xml:space="preserve">, note </w:t>
      </w:r>
      <w:r w:rsidR="00E30B84" w:rsidRPr="000B45F2">
        <w:rPr>
          <w:bCs/>
        </w:rPr>
        <w:t xml:space="preserve">that a similar explanatory story about agent permissions in </w:t>
      </w:r>
      <w:r w:rsidR="005A70B6" w:rsidRPr="000B45F2">
        <w:rPr>
          <w:bCs/>
        </w:rPr>
        <w:t xml:space="preserve">a case like </w:t>
      </w:r>
      <w:r w:rsidR="00520FA9" w:rsidRPr="000B45F2">
        <w:rPr>
          <w:bCs/>
        </w:rPr>
        <w:t>Exercise or Couch</w:t>
      </w:r>
      <w:r w:rsidR="00E30B84" w:rsidRPr="000B45F2">
        <w:rPr>
          <w:bCs/>
        </w:rPr>
        <w:t xml:space="preserve"> is</w:t>
      </w:r>
      <w:r w:rsidR="00C167C6" w:rsidRPr="000B45F2">
        <w:rPr>
          <w:bCs/>
        </w:rPr>
        <w:t xml:space="preserve"> now</w:t>
      </w:r>
      <w:r w:rsidR="00E30B84" w:rsidRPr="000B45F2">
        <w:rPr>
          <w:bCs/>
        </w:rPr>
        <w:t xml:space="preserve"> </w:t>
      </w:r>
      <w:r w:rsidR="00894AD8">
        <w:rPr>
          <w:bCs/>
        </w:rPr>
        <w:t xml:space="preserve">less </w:t>
      </w:r>
      <w:r w:rsidR="00E30B84" w:rsidRPr="000B45F2">
        <w:rPr>
          <w:bCs/>
        </w:rPr>
        <w:t>plausible.</w:t>
      </w:r>
      <w:r w:rsidR="0060118F">
        <w:rPr>
          <w:rStyle w:val="FootnoteReference"/>
          <w:bCs/>
        </w:rPr>
        <w:footnoteReference w:id="30"/>
      </w:r>
      <w:r w:rsidR="007E1993" w:rsidRPr="000B45F2">
        <w:rPr>
          <w:bCs/>
        </w:rPr>
        <w:t xml:space="preserve"> For example,</w:t>
      </w:r>
      <w:r w:rsidR="0035026C" w:rsidRPr="000B45F2">
        <w:rPr>
          <w:bCs/>
        </w:rPr>
        <w:t xml:space="preserve"> I know </w:t>
      </w:r>
      <w:r w:rsidR="00C167C6" w:rsidRPr="000B45F2">
        <w:rPr>
          <w:bCs/>
        </w:rPr>
        <w:t xml:space="preserve">that there is less deontic weight supporting staying on the couch than </w:t>
      </w:r>
      <w:r w:rsidR="001127E8" w:rsidRPr="000B45F2">
        <w:rPr>
          <w:bCs/>
        </w:rPr>
        <w:t>exercising</w:t>
      </w:r>
      <w:r w:rsidR="0035026C" w:rsidRPr="000B45F2">
        <w:rPr>
          <w:bCs/>
        </w:rPr>
        <w:t xml:space="preserve">. Yet, </w:t>
      </w:r>
      <w:r w:rsidR="00412E29" w:rsidRPr="000B45F2">
        <w:rPr>
          <w:bCs/>
        </w:rPr>
        <w:t xml:space="preserve">suppose </w:t>
      </w:r>
      <w:r w:rsidR="0035026C" w:rsidRPr="000B45F2">
        <w:rPr>
          <w:bCs/>
        </w:rPr>
        <w:t xml:space="preserve">that if </w:t>
      </w:r>
      <w:r w:rsidR="00B652AA" w:rsidRPr="000B45F2">
        <w:rPr>
          <w:bCs/>
        </w:rPr>
        <w:t xml:space="preserve">I </w:t>
      </w:r>
      <w:r w:rsidR="0035026C" w:rsidRPr="000B45F2">
        <w:rPr>
          <w:bCs/>
        </w:rPr>
        <w:t>criticize</w:t>
      </w:r>
      <w:r w:rsidR="00B652AA" w:rsidRPr="000B45F2">
        <w:rPr>
          <w:bCs/>
        </w:rPr>
        <w:t>d</w:t>
      </w:r>
      <w:r w:rsidR="0035026C" w:rsidRPr="000B45F2">
        <w:rPr>
          <w:bCs/>
        </w:rPr>
        <w:t xml:space="preserve"> myself or someone else </w:t>
      </w:r>
      <w:r w:rsidR="00B652AA" w:rsidRPr="000B45F2">
        <w:rPr>
          <w:bCs/>
        </w:rPr>
        <w:t>criticized me</w:t>
      </w:r>
      <w:r w:rsidR="0035026C" w:rsidRPr="000B45F2">
        <w:rPr>
          <w:bCs/>
        </w:rPr>
        <w:t xml:space="preserve"> for </w:t>
      </w:r>
      <w:r w:rsidR="00C167C6" w:rsidRPr="000B45F2">
        <w:rPr>
          <w:bCs/>
        </w:rPr>
        <w:t>staying on the couch</w:t>
      </w:r>
      <w:r w:rsidR="0035026C" w:rsidRPr="000B45F2">
        <w:rPr>
          <w:bCs/>
        </w:rPr>
        <w:t xml:space="preserve">, I </w:t>
      </w:r>
      <w:r w:rsidR="00741771" w:rsidRPr="000B45F2">
        <w:rPr>
          <w:bCs/>
        </w:rPr>
        <w:t>expect that I</w:t>
      </w:r>
      <w:r w:rsidR="007E1993" w:rsidRPr="000B45F2">
        <w:rPr>
          <w:bCs/>
        </w:rPr>
        <w:t xml:space="preserve"> </w:t>
      </w:r>
      <w:r w:rsidR="00C270D7" w:rsidRPr="000B45F2">
        <w:rPr>
          <w:bCs/>
        </w:rPr>
        <w:t>would</w:t>
      </w:r>
      <w:r w:rsidR="008214EC" w:rsidRPr="000B45F2">
        <w:rPr>
          <w:bCs/>
        </w:rPr>
        <w:t xml:space="preserve"> </w:t>
      </w:r>
      <w:r w:rsidR="001127E8" w:rsidRPr="000B45F2">
        <w:rPr>
          <w:bCs/>
        </w:rPr>
        <w:t>appeal to my right to non-interference</w:t>
      </w:r>
      <w:r w:rsidR="007E1993" w:rsidRPr="000B45F2">
        <w:rPr>
          <w:bCs/>
        </w:rPr>
        <w:t xml:space="preserve">. By doing so, I can thereby </w:t>
      </w:r>
      <w:r w:rsidR="001127E8" w:rsidRPr="000B45F2">
        <w:rPr>
          <w:bCs/>
        </w:rPr>
        <w:t>ma</w:t>
      </w:r>
      <w:r w:rsidR="007E1993" w:rsidRPr="000B45F2">
        <w:rPr>
          <w:bCs/>
        </w:rPr>
        <w:t>ke</w:t>
      </w:r>
      <w:r w:rsidR="001127E8" w:rsidRPr="000B45F2">
        <w:rPr>
          <w:bCs/>
        </w:rPr>
        <w:t xml:space="preserve"> it the case that there is most deontic weight to stay on the couch</w:t>
      </w:r>
      <w:r w:rsidR="00C167C6" w:rsidRPr="000B45F2">
        <w:rPr>
          <w:bCs/>
        </w:rPr>
        <w:t xml:space="preserve"> given </w:t>
      </w:r>
      <w:r w:rsidR="007B4575">
        <w:rPr>
          <w:bCs/>
        </w:rPr>
        <w:t>the Deontic Weight Strategy</w:t>
      </w:r>
      <w:r w:rsidR="001127E8" w:rsidRPr="000B45F2">
        <w:rPr>
          <w:bCs/>
        </w:rPr>
        <w:t>.</w:t>
      </w:r>
      <w:r w:rsidR="00B652AA" w:rsidRPr="000B45F2">
        <w:rPr>
          <w:bCs/>
        </w:rPr>
        <w:t xml:space="preserve"> A fortiori, I am permitted to do so. </w:t>
      </w:r>
      <w:r w:rsidR="00C270D7" w:rsidRPr="000B45F2">
        <w:rPr>
          <w:bCs/>
        </w:rPr>
        <w:t xml:space="preserve">In </w:t>
      </w:r>
      <w:r w:rsidR="00412E29" w:rsidRPr="000B45F2">
        <w:rPr>
          <w:bCs/>
        </w:rPr>
        <w:t>other words</w:t>
      </w:r>
      <w:r w:rsidR="00C270D7" w:rsidRPr="000B45F2">
        <w:rPr>
          <w:bCs/>
        </w:rPr>
        <w:t>, permissions</w:t>
      </w:r>
      <w:r w:rsidR="00610B62" w:rsidRPr="000B45F2">
        <w:rPr>
          <w:bCs/>
        </w:rPr>
        <w:t xml:space="preserve"> </w:t>
      </w:r>
      <w:r w:rsidR="00610B62" w:rsidRPr="000B45F2">
        <w:rPr>
          <w:bCs/>
        </w:rPr>
        <w:lastRenderedPageBreak/>
        <w:t xml:space="preserve">in </w:t>
      </w:r>
      <w:r w:rsidR="00412E29" w:rsidRPr="000B45F2">
        <w:rPr>
          <w:bCs/>
        </w:rPr>
        <w:t xml:space="preserve">first-person practical deliberation </w:t>
      </w:r>
      <w:r w:rsidR="00610B62" w:rsidRPr="000B45F2">
        <w:rPr>
          <w:bCs/>
        </w:rPr>
        <w:t>cases</w:t>
      </w:r>
      <w:r w:rsidR="00C270D7" w:rsidRPr="000B45F2">
        <w:rPr>
          <w:bCs/>
        </w:rPr>
        <w:t xml:space="preserve"> are</w:t>
      </w:r>
      <w:r w:rsidR="0013127F" w:rsidRPr="000B45F2">
        <w:rPr>
          <w:bCs/>
        </w:rPr>
        <w:t xml:space="preserve"> implausibly</w:t>
      </w:r>
      <w:r w:rsidR="00C270D7" w:rsidRPr="000B45F2">
        <w:rPr>
          <w:bCs/>
        </w:rPr>
        <w:t xml:space="preserve"> grounded in</w:t>
      </w:r>
      <w:r w:rsidR="00412E29" w:rsidRPr="000B45F2">
        <w:rPr>
          <w:bCs/>
        </w:rPr>
        <w:t xml:space="preserve"> the </w:t>
      </w:r>
      <w:r w:rsidR="00C270D7" w:rsidRPr="000B45F2">
        <w:rPr>
          <w:bCs/>
        </w:rPr>
        <w:t>expectation that I</w:t>
      </w:r>
      <w:r w:rsidR="007A4A4B" w:rsidRPr="000B45F2">
        <w:rPr>
          <w:bCs/>
        </w:rPr>
        <w:t xml:space="preserve"> will </w:t>
      </w:r>
      <w:r w:rsidR="00C270D7" w:rsidRPr="000B45F2">
        <w:rPr>
          <w:bCs/>
        </w:rPr>
        <w:t>rationalize (in the bad sense) any number of actions</w:t>
      </w:r>
      <w:r w:rsidR="00FE5E6A" w:rsidRPr="000B45F2">
        <w:rPr>
          <w:bCs/>
        </w:rPr>
        <w:t>.</w:t>
      </w:r>
      <w:r w:rsidR="00FE5E6A" w:rsidRPr="000B45F2">
        <w:rPr>
          <w:rStyle w:val="FootnoteReference"/>
          <w:bCs/>
        </w:rPr>
        <w:footnoteReference w:id="31"/>
      </w:r>
    </w:p>
    <w:p w14:paraId="335EAE4D" w14:textId="6180A233" w:rsidR="009372FE" w:rsidRPr="000B45F2" w:rsidRDefault="00544BA7" w:rsidP="00880ACB">
      <w:pPr>
        <w:jc w:val="both"/>
        <w:rPr>
          <w:bCs/>
        </w:rPr>
      </w:pPr>
      <w:r w:rsidRPr="000B45F2">
        <w:rPr>
          <w:bCs/>
        </w:rPr>
        <w:t xml:space="preserve">One response is to claim that the deontic weight of rights </w:t>
      </w:r>
      <w:r w:rsidR="00894B91" w:rsidRPr="000B45F2">
        <w:rPr>
          <w:bCs/>
        </w:rPr>
        <w:t xml:space="preserve">operates only </w:t>
      </w:r>
      <w:r w:rsidRPr="000B45F2">
        <w:rPr>
          <w:bCs/>
        </w:rPr>
        <w:t>in the context of defending one’s action against another</w:t>
      </w:r>
      <w:r w:rsidR="00AA1DE0" w:rsidRPr="000B45F2">
        <w:rPr>
          <w:bCs/>
        </w:rPr>
        <w:t>’s criticism</w:t>
      </w:r>
      <w:r w:rsidRPr="000B45F2">
        <w:rPr>
          <w:bCs/>
        </w:rPr>
        <w:t>. In the case of first-personal practical deliberation</w:t>
      </w:r>
      <w:r w:rsidR="00AA1DE0" w:rsidRPr="000B45F2">
        <w:rPr>
          <w:bCs/>
        </w:rPr>
        <w:t xml:space="preserve">, we either cannot appeal to </w:t>
      </w:r>
      <w:proofErr w:type="gramStart"/>
      <w:r w:rsidR="00AA1DE0" w:rsidRPr="000B45F2">
        <w:rPr>
          <w:bCs/>
        </w:rPr>
        <w:t>rights</w:t>
      </w:r>
      <w:proofErr w:type="gramEnd"/>
      <w:r w:rsidR="00AA1DE0" w:rsidRPr="000B45F2">
        <w:rPr>
          <w:bCs/>
        </w:rPr>
        <w:t xml:space="preserve"> or they have no deontic weight</w:t>
      </w:r>
      <w:r w:rsidRPr="000B45F2">
        <w:rPr>
          <w:bCs/>
        </w:rPr>
        <w:t>.</w:t>
      </w:r>
      <w:r w:rsidR="00894B91" w:rsidRPr="000B45F2">
        <w:rPr>
          <w:bCs/>
        </w:rPr>
        <w:t xml:space="preserve"> Thus</w:t>
      </w:r>
      <w:r w:rsidR="00C43C66" w:rsidRPr="000B45F2">
        <w:rPr>
          <w:bCs/>
        </w:rPr>
        <w:t>,</w:t>
      </w:r>
      <w:r w:rsidR="00894B91" w:rsidRPr="000B45F2">
        <w:rPr>
          <w:bCs/>
        </w:rPr>
        <w:t xml:space="preserve"> we can account for </w:t>
      </w:r>
      <w:r w:rsidR="00306A53" w:rsidRPr="000B45F2">
        <w:rPr>
          <w:bCs/>
        </w:rPr>
        <w:t>My Arm</w:t>
      </w:r>
      <w:r w:rsidR="00894B91" w:rsidRPr="000B45F2">
        <w:rPr>
          <w:bCs/>
        </w:rPr>
        <w:t xml:space="preserve"> and </w:t>
      </w:r>
      <w:r w:rsidR="00306A53" w:rsidRPr="000B45F2">
        <w:rPr>
          <w:bCs/>
        </w:rPr>
        <w:t>Your Arm</w:t>
      </w:r>
      <w:r w:rsidR="00894B91" w:rsidRPr="000B45F2">
        <w:rPr>
          <w:bCs/>
        </w:rPr>
        <w:t xml:space="preserve"> without </w:t>
      </w:r>
      <w:r w:rsidR="00AA1DE0" w:rsidRPr="000B45F2">
        <w:rPr>
          <w:bCs/>
        </w:rPr>
        <w:t>having to claim that our permissions in</w:t>
      </w:r>
      <w:r w:rsidR="00894B91" w:rsidRPr="000B45F2">
        <w:rPr>
          <w:bCs/>
        </w:rPr>
        <w:t xml:space="preserve"> Exercise or Couch</w:t>
      </w:r>
      <w:r w:rsidR="00AA1DE0" w:rsidRPr="000B45F2">
        <w:rPr>
          <w:bCs/>
        </w:rPr>
        <w:t xml:space="preserve"> are grounded in an ability to rationalize our </w:t>
      </w:r>
      <w:r w:rsidR="00821867" w:rsidRPr="000B45F2">
        <w:rPr>
          <w:bCs/>
        </w:rPr>
        <w:t xml:space="preserve">own </w:t>
      </w:r>
      <w:r w:rsidR="00AA1DE0" w:rsidRPr="000B45F2">
        <w:rPr>
          <w:bCs/>
        </w:rPr>
        <w:t>actions.</w:t>
      </w:r>
      <w:r w:rsidR="006C0F80" w:rsidRPr="000B45F2">
        <w:rPr>
          <w:bCs/>
        </w:rPr>
        <w:t xml:space="preserve"> </w:t>
      </w:r>
      <w:r w:rsidR="00821867" w:rsidRPr="000B45F2">
        <w:rPr>
          <w:bCs/>
        </w:rPr>
        <w:t>The problem is that it is</w:t>
      </w:r>
      <w:r w:rsidR="006C0F80" w:rsidRPr="000B45F2">
        <w:rPr>
          <w:bCs/>
        </w:rPr>
        <w:t xml:space="preserve"> unclear why we cannot appeal to rights in the case of first-personal deliberation</w:t>
      </w:r>
      <w:r w:rsidR="008D7D3C" w:rsidRPr="000B45F2">
        <w:rPr>
          <w:bCs/>
        </w:rPr>
        <w:t xml:space="preserve"> concerning prudence when we can do so for other cases</w:t>
      </w:r>
      <w:r w:rsidR="006C0F80" w:rsidRPr="000B45F2">
        <w:rPr>
          <w:bCs/>
        </w:rPr>
        <w:t xml:space="preserve">. </w:t>
      </w:r>
      <w:r w:rsidR="00B44591" w:rsidRPr="000B45F2">
        <w:rPr>
          <w:bCs/>
        </w:rPr>
        <w:t>We</w:t>
      </w:r>
      <w:r w:rsidR="009372FE" w:rsidRPr="000B45F2">
        <w:rPr>
          <w:bCs/>
        </w:rPr>
        <w:t xml:space="preserve"> can defend ourselves from criticism for choosing a deontically suboptimal action against </w:t>
      </w:r>
      <w:r w:rsidR="00821867" w:rsidRPr="000B45F2">
        <w:rPr>
          <w:bCs/>
        </w:rPr>
        <w:t>another’s criticism</w:t>
      </w:r>
      <w:r w:rsidR="00B44591" w:rsidRPr="000B45F2">
        <w:rPr>
          <w:bCs/>
        </w:rPr>
        <w:t>. Why are we suddenly not</w:t>
      </w:r>
      <w:r w:rsidR="009372FE" w:rsidRPr="000B45F2">
        <w:rPr>
          <w:bCs/>
        </w:rPr>
        <w:t xml:space="preserve"> </w:t>
      </w:r>
      <w:r w:rsidR="00B44591" w:rsidRPr="000B45F2">
        <w:rPr>
          <w:bCs/>
        </w:rPr>
        <w:t>able to do so when</w:t>
      </w:r>
      <w:r w:rsidR="009372FE" w:rsidRPr="000B45F2">
        <w:rPr>
          <w:bCs/>
        </w:rPr>
        <w:t xml:space="preserve"> we become our own critics</w:t>
      </w:r>
      <w:r w:rsidR="00B44591" w:rsidRPr="000B45F2">
        <w:rPr>
          <w:bCs/>
        </w:rPr>
        <w:t>?</w:t>
      </w:r>
      <w:r w:rsidR="0093404A" w:rsidRPr="000B45F2">
        <w:rPr>
          <w:bCs/>
        </w:rPr>
        <w:t xml:space="preserve"> </w:t>
      </w:r>
      <w:r w:rsidR="00DD2595" w:rsidRPr="000B45F2">
        <w:rPr>
          <w:bCs/>
        </w:rPr>
        <w:t>Note that there is no</w:t>
      </w:r>
      <w:r w:rsidR="0093404A" w:rsidRPr="000B45F2">
        <w:rPr>
          <w:bCs/>
        </w:rPr>
        <w:t xml:space="preserve"> general </w:t>
      </w:r>
      <w:r w:rsidR="00697400" w:rsidRPr="000B45F2">
        <w:rPr>
          <w:bCs/>
        </w:rPr>
        <w:t>ban</w:t>
      </w:r>
      <w:r w:rsidR="0093404A" w:rsidRPr="000B45F2">
        <w:rPr>
          <w:bCs/>
        </w:rPr>
        <w:t xml:space="preserve"> </w:t>
      </w:r>
      <w:r w:rsidR="00697400" w:rsidRPr="000B45F2">
        <w:rPr>
          <w:bCs/>
        </w:rPr>
        <w:t>on</w:t>
      </w:r>
      <w:r w:rsidR="0093404A" w:rsidRPr="000B45F2">
        <w:rPr>
          <w:bCs/>
        </w:rPr>
        <w:t xml:space="preserve"> asserting </w:t>
      </w:r>
      <w:r w:rsidR="00AD135D" w:rsidRPr="000B45F2">
        <w:rPr>
          <w:bCs/>
        </w:rPr>
        <w:t>rights</w:t>
      </w:r>
      <w:r w:rsidR="0093404A" w:rsidRPr="000B45F2">
        <w:rPr>
          <w:bCs/>
        </w:rPr>
        <w:t xml:space="preserve"> against ourselves.</w:t>
      </w:r>
    </w:p>
    <w:p w14:paraId="2F5BC9B7" w14:textId="114D6AB2" w:rsidR="00DE706F" w:rsidRPr="000B45F2" w:rsidRDefault="00375032" w:rsidP="00880ACB">
      <w:pPr>
        <w:jc w:val="both"/>
        <w:rPr>
          <w:bCs/>
        </w:rPr>
      </w:pPr>
      <w:r>
        <w:rPr>
          <w:bCs/>
        </w:rPr>
        <w:t>Mũnoz</w:t>
      </w:r>
      <w:r w:rsidR="00DE706F" w:rsidRPr="000B45F2">
        <w:rPr>
          <w:bCs/>
        </w:rPr>
        <w:t>’s response is to accept that we can criticize ourselves</w:t>
      </w:r>
      <w:r w:rsidR="00D93D3C" w:rsidRPr="000B45F2">
        <w:rPr>
          <w:bCs/>
        </w:rPr>
        <w:t xml:space="preserve"> (</w:t>
      </w:r>
      <w:r w:rsidR="008F1655">
        <w:rPr>
          <w:bCs/>
        </w:rPr>
        <w:t>even</w:t>
      </w:r>
      <w:r w:rsidR="00D93D3C" w:rsidRPr="000B45F2">
        <w:rPr>
          <w:bCs/>
        </w:rPr>
        <w:t xml:space="preserve"> when we fail to do what is supererogatory)</w:t>
      </w:r>
      <w:r w:rsidR="00DE706F" w:rsidRPr="000B45F2">
        <w:rPr>
          <w:bCs/>
        </w:rPr>
        <w:t>, but we can nonetheless appeal to meta-rights</w:t>
      </w:r>
      <w:r w:rsidR="00D93D3C" w:rsidRPr="000B45F2">
        <w:rPr>
          <w:bCs/>
        </w:rPr>
        <w:t xml:space="preserve"> </w:t>
      </w:r>
      <w:r w:rsidR="0025268C" w:rsidRPr="000B45F2">
        <w:rPr>
          <w:bCs/>
        </w:rPr>
        <w:t>that protect our</w:t>
      </w:r>
      <w:r w:rsidR="00D93D3C" w:rsidRPr="000B45F2">
        <w:rPr>
          <w:bCs/>
        </w:rPr>
        <w:t xml:space="preserve"> first-order rights.</w:t>
      </w:r>
      <w:r w:rsidR="005D7166" w:rsidRPr="000B45F2">
        <w:rPr>
          <w:bCs/>
        </w:rPr>
        <w:t xml:space="preserve"> </w:t>
      </w:r>
      <w:r w:rsidR="00DF6E73" w:rsidRPr="000B45F2">
        <w:rPr>
          <w:bCs/>
        </w:rPr>
        <w:t xml:space="preserve">For example, even if we criticize ourselves for rationalizing an action by asserting a first-order right, we can simply appeal to a meta-right to assert </w:t>
      </w:r>
      <w:r w:rsidR="0025268C" w:rsidRPr="000B45F2">
        <w:rPr>
          <w:bCs/>
        </w:rPr>
        <w:t xml:space="preserve">that </w:t>
      </w:r>
      <w:r w:rsidR="00DF6E73" w:rsidRPr="000B45F2">
        <w:rPr>
          <w:bCs/>
        </w:rPr>
        <w:t xml:space="preserve">first-order right. </w:t>
      </w:r>
      <w:r w:rsidR="0025268C" w:rsidRPr="000B45F2">
        <w:rPr>
          <w:bCs/>
        </w:rPr>
        <w:t>In effect, we can tell the self-critical part of ourselves to “buzz off</w:t>
      </w:r>
      <w:r w:rsidR="00517F2F" w:rsidRPr="000B45F2">
        <w:rPr>
          <w:bCs/>
        </w:rPr>
        <w:t>.</w:t>
      </w:r>
      <w:r w:rsidR="0025268C" w:rsidRPr="000B45F2">
        <w:rPr>
          <w:bCs/>
        </w:rPr>
        <w:t>”</w:t>
      </w:r>
      <w:r w:rsidR="00D07A7D" w:rsidRPr="000B45F2">
        <w:rPr>
          <w:rStyle w:val="FootnoteReference"/>
          <w:bCs/>
        </w:rPr>
        <w:footnoteReference w:id="32"/>
      </w:r>
      <w:r w:rsidR="00CF3D25" w:rsidRPr="000B45F2">
        <w:rPr>
          <w:bCs/>
        </w:rPr>
        <w:t xml:space="preserve"> </w:t>
      </w:r>
      <w:r w:rsidR="00A71644" w:rsidRPr="000B45F2">
        <w:rPr>
          <w:bCs/>
        </w:rPr>
        <w:t>But note that even</w:t>
      </w:r>
      <w:r w:rsidR="00CF3D25" w:rsidRPr="000B45F2">
        <w:rPr>
          <w:bCs/>
        </w:rPr>
        <w:t xml:space="preserve"> if we grant that we can rationalize our own actions using rights and meta-rights, there </w:t>
      </w:r>
      <w:r w:rsidR="00B12B43">
        <w:rPr>
          <w:bCs/>
        </w:rPr>
        <w:t>needs to be a</w:t>
      </w:r>
      <w:r w:rsidR="00CF3D25" w:rsidRPr="000B45F2">
        <w:rPr>
          <w:bCs/>
        </w:rPr>
        <w:t xml:space="preserve"> limit. If parting with an ordinary penny of mine is required to save my life, assertions of rights or meta-rights cannot override the deontic weight that favors parting with my penny.</w:t>
      </w:r>
      <w:r w:rsidR="004F7F0A" w:rsidRPr="000B45F2">
        <w:rPr>
          <w:bCs/>
        </w:rPr>
        <w:t xml:space="preserve"> Again, what </w:t>
      </w:r>
      <w:r w:rsidR="00EB6EB4" w:rsidRPr="000B45F2">
        <w:rPr>
          <w:bCs/>
        </w:rPr>
        <w:t>we still need is a</w:t>
      </w:r>
      <w:r w:rsidR="004F7F0A" w:rsidRPr="000B45F2">
        <w:rPr>
          <w:bCs/>
        </w:rPr>
        <w:t xml:space="preserve"> substantive theory of how such rights (and meta-rights) are grounded and how they are weighed.</w:t>
      </w:r>
      <w:r w:rsidR="00C43C66" w:rsidRPr="000B45F2">
        <w:rPr>
          <w:bCs/>
        </w:rPr>
        <w:t xml:space="preserve"> Let us</w:t>
      </w:r>
      <w:r w:rsidR="00392D9C">
        <w:rPr>
          <w:bCs/>
        </w:rPr>
        <w:t xml:space="preserve"> </w:t>
      </w:r>
      <w:r w:rsidR="009F4B2E">
        <w:rPr>
          <w:bCs/>
        </w:rPr>
        <w:t>turn to this third</w:t>
      </w:r>
      <w:r w:rsidR="00C43C66" w:rsidRPr="000B45F2">
        <w:rPr>
          <w:bCs/>
        </w:rPr>
        <w:t xml:space="preserve"> </w:t>
      </w:r>
      <w:r w:rsidR="00392D9C">
        <w:rPr>
          <w:bCs/>
        </w:rPr>
        <w:t>issue</w:t>
      </w:r>
      <w:r w:rsidR="009F4B2E">
        <w:rPr>
          <w:bCs/>
        </w:rPr>
        <w:t xml:space="preserve"> now.</w:t>
      </w:r>
    </w:p>
    <w:p w14:paraId="7922E6DB" w14:textId="4E83C779" w:rsidR="005B6D32" w:rsidRPr="000B45F2" w:rsidRDefault="00FE5E6A" w:rsidP="00880ACB">
      <w:pPr>
        <w:pStyle w:val="Ting-Heading3"/>
        <w:jc w:val="both"/>
        <w:rPr>
          <w:bCs/>
        </w:rPr>
      </w:pPr>
      <w:r w:rsidRPr="000B45F2">
        <w:rPr>
          <w:bCs/>
        </w:rPr>
        <w:t>Rights and Deontic Weight</w:t>
      </w:r>
    </w:p>
    <w:p w14:paraId="0108C3DB" w14:textId="53723B18" w:rsidR="004D7F89" w:rsidRPr="000B45F2" w:rsidRDefault="004F7F0A" w:rsidP="00880ACB">
      <w:pPr>
        <w:jc w:val="both"/>
        <w:rPr>
          <w:bCs/>
        </w:rPr>
      </w:pPr>
      <w:r w:rsidRPr="000B45F2">
        <w:rPr>
          <w:bCs/>
        </w:rPr>
        <w:t xml:space="preserve">We have been considering rights because they neatly play a </w:t>
      </w:r>
      <w:r w:rsidRPr="000B45F2">
        <w:rPr>
          <w:bCs/>
          <w:i/>
          <w:iCs/>
        </w:rPr>
        <w:t>theoretical role</w:t>
      </w:r>
      <w:r w:rsidRPr="000B45F2">
        <w:rPr>
          <w:bCs/>
        </w:rPr>
        <w:t xml:space="preserve"> crucial to </w:t>
      </w:r>
      <w:r w:rsidR="007B4575">
        <w:rPr>
          <w:bCs/>
        </w:rPr>
        <w:t>the Deontic Weight Strategy</w:t>
      </w:r>
      <w:r w:rsidRPr="000B45F2">
        <w:rPr>
          <w:bCs/>
        </w:rPr>
        <w:t>: rights are atelic</w:t>
      </w:r>
      <w:r w:rsidR="007E45E5">
        <w:rPr>
          <w:bCs/>
        </w:rPr>
        <w:t xml:space="preserve"> considerations</w:t>
      </w:r>
      <w:r w:rsidRPr="000B45F2">
        <w:rPr>
          <w:bCs/>
        </w:rPr>
        <w:t xml:space="preserve"> that have deontic weight that we can </w:t>
      </w:r>
      <w:r w:rsidR="000713A1">
        <w:rPr>
          <w:bCs/>
        </w:rPr>
        <w:t xml:space="preserve">immediately </w:t>
      </w:r>
      <w:r w:rsidRPr="000B45F2">
        <w:rPr>
          <w:bCs/>
        </w:rPr>
        <w:t xml:space="preserve">assert or waive in defense of our choices. </w:t>
      </w:r>
      <w:r w:rsidR="00691234" w:rsidRPr="000B45F2">
        <w:rPr>
          <w:bCs/>
        </w:rPr>
        <w:t>Yet, the present proposal is incomplete unless we have a</w:t>
      </w:r>
      <w:r w:rsidRPr="000B45F2">
        <w:rPr>
          <w:bCs/>
        </w:rPr>
        <w:t xml:space="preserve"> </w:t>
      </w:r>
      <w:r w:rsidR="00436946" w:rsidRPr="000B45F2">
        <w:rPr>
          <w:bCs/>
        </w:rPr>
        <w:t>theory about what</w:t>
      </w:r>
      <w:r w:rsidR="00A57D7F" w:rsidRPr="000B45F2">
        <w:rPr>
          <w:bCs/>
        </w:rPr>
        <w:t xml:space="preserve"> deontic</w:t>
      </w:r>
      <w:r w:rsidR="00436946" w:rsidRPr="000B45F2">
        <w:rPr>
          <w:bCs/>
        </w:rPr>
        <w:t xml:space="preserve"> weight rights actually have</w:t>
      </w:r>
      <w:r w:rsidR="00D30BC5" w:rsidRPr="000B45F2">
        <w:rPr>
          <w:bCs/>
        </w:rPr>
        <w:t xml:space="preserve"> (and </w:t>
      </w:r>
      <w:r w:rsidR="008F1655">
        <w:rPr>
          <w:bCs/>
        </w:rPr>
        <w:t>presumably a</w:t>
      </w:r>
      <w:r w:rsidR="009F4B2E">
        <w:rPr>
          <w:bCs/>
        </w:rPr>
        <w:t xml:space="preserve"> </w:t>
      </w:r>
      <w:r w:rsidR="00D30BC5" w:rsidRPr="000B45F2">
        <w:rPr>
          <w:bCs/>
        </w:rPr>
        <w:t>theory of how such weights interact with the deontic weights generated by the other</w:t>
      </w:r>
      <w:r w:rsidR="00EB6EB4" w:rsidRPr="000B45F2">
        <w:rPr>
          <w:bCs/>
        </w:rPr>
        <w:t xml:space="preserve"> normative</w:t>
      </w:r>
      <w:r w:rsidR="00D30BC5" w:rsidRPr="000B45F2">
        <w:rPr>
          <w:bCs/>
        </w:rPr>
        <w:t xml:space="preserve"> grounds we have considered).</w:t>
      </w:r>
      <w:r w:rsidR="0033411A" w:rsidRPr="000B45F2">
        <w:rPr>
          <w:bCs/>
        </w:rPr>
        <w:t xml:space="preserve"> </w:t>
      </w:r>
      <w:r w:rsidR="00691234" w:rsidRPr="000B45F2">
        <w:rPr>
          <w:bCs/>
        </w:rPr>
        <w:t xml:space="preserve">Furthermore, if </w:t>
      </w:r>
      <w:r w:rsidR="00691234" w:rsidRPr="000B45F2">
        <w:rPr>
          <w:bCs/>
        </w:rPr>
        <w:lastRenderedPageBreak/>
        <w:t xml:space="preserve">the meta-rights response to the problems that I raised is to work, we must have a plausible theory of weight </w:t>
      </w:r>
      <w:r w:rsidR="0038420E">
        <w:rPr>
          <w:bCs/>
        </w:rPr>
        <w:t>for</w:t>
      </w:r>
      <w:r w:rsidR="008F0094">
        <w:rPr>
          <w:bCs/>
        </w:rPr>
        <w:t xml:space="preserve"> those rights too</w:t>
      </w:r>
      <w:r w:rsidR="00EB6EB4" w:rsidRPr="000B45F2">
        <w:rPr>
          <w:bCs/>
        </w:rPr>
        <w:t>.</w:t>
      </w:r>
    </w:p>
    <w:p w14:paraId="4F82F352" w14:textId="3ABDC054" w:rsidR="004D7F89" w:rsidRPr="000B45F2" w:rsidRDefault="004D7F89" w:rsidP="00880ACB">
      <w:pPr>
        <w:jc w:val="both"/>
        <w:rPr>
          <w:bCs/>
        </w:rPr>
      </w:pPr>
      <w:r w:rsidRPr="000B45F2">
        <w:rPr>
          <w:bCs/>
        </w:rPr>
        <w:t xml:space="preserve">Granted, </w:t>
      </w:r>
      <w:r w:rsidR="00375032">
        <w:rPr>
          <w:bCs/>
        </w:rPr>
        <w:t>Mũnoz</w:t>
      </w:r>
      <w:r w:rsidR="00F47D95" w:rsidRPr="000B45F2">
        <w:rPr>
          <w:bCs/>
        </w:rPr>
        <w:t xml:space="preserve"> does not need </w:t>
      </w:r>
      <w:r w:rsidR="009A3362">
        <w:rPr>
          <w:bCs/>
        </w:rPr>
        <w:t xml:space="preserve">a </w:t>
      </w:r>
      <w:r w:rsidR="005C3CD3">
        <w:rPr>
          <w:bCs/>
        </w:rPr>
        <w:t xml:space="preserve">fully </w:t>
      </w:r>
      <w:r w:rsidR="009A3362">
        <w:rPr>
          <w:bCs/>
        </w:rPr>
        <w:t>worked-out theory</w:t>
      </w:r>
      <w:r w:rsidR="00F47D95" w:rsidRPr="000B45F2">
        <w:rPr>
          <w:bCs/>
        </w:rPr>
        <w:t xml:space="preserve"> in order to defend </w:t>
      </w:r>
      <w:r w:rsidR="00043795">
        <w:rPr>
          <w:bCs/>
        </w:rPr>
        <w:t>his</w:t>
      </w:r>
      <w:r w:rsidR="00F47D95" w:rsidRPr="000B45F2">
        <w:rPr>
          <w:bCs/>
        </w:rPr>
        <w:t xml:space="preserve"> claim that </w:t>
      </w:r>
      <w:r w:rsidRPr="000B45F2">
        <w:rPr>
          <w:bCs/>
        </w:rPr>
        <w:t xml:space="preserve">prerogatives </w:t>
      </w:r>
      <w:r w:rsidR="00F47D95" w:rsidRPr="000B45F2">
        <w:rPr>
          <w:bCs/>
        </w:rPr>
        <w:t>are grounded in</w:t>
      </w:r>
      <w:r w:rsidRPr="000B45F2">
        <w:rPr>
          <w:bCs/>
        </w:rPr>
        <w:t xml:space="preserve"> rights</w:t>
      </w:r>
      <w:r w:rsidR="00047108" w:rsidRPr="000B45F2">
        <w:rPr>
          <w:bCs/>
        </w:rPr>
        <w:t>.</w:t>
      </w:r>
      <w:r w:rsidRPr="000B45F2">
        <w:rPr>
          <w:bCs/>
        </w:rPr>
        <w:t xml:space="preserve"> However, </w:t>
      </w:r>
      <w:r w:rsidR="00D13060" w:rsidRPr="000B45F2">
        <w:rPr>
          <w:bCs/>
        </w:rPr>
        <w:t>a lack of such a theory</w:t>
      </w:r>
      <w:r w:rsidRPr="000B45F2">
        <w:rPr>
          <w:bCs/>
        </w:rPr>
        <w:t xml:space="preserve"> </w:t>
      </w:r>
      <w:r w:rsidR="0023235D" w:rsidRPr="003E4098">
        <w:rPr>
          <w:bCs/>
        </w:rPr>
        <w:t>may well</w:t>
      </w:r>
      <w:r w:rsidR="0023235D" w:rsidRPr="000B45F2">
        <w:rPr>
          <w:bCs/>
        </w:rPr>
        <w:t xml:space="preserve"> be</w:t>
      </w:r>
      <w:r w:rsidRPr="000B45F2">
        <w:rPr>
          <w:bCs/>
          <w:i/>
          <w:iCs/>
        </w:rPr>
        <w:t xml:space="preserve"> </w:t>
      </w:r>
      <w:r w:rsidRPr="000B45F2">
        <w:rPr>
          <w:bCs/>
        </w:rPr>
        <w:t>a problem for the proponent of</w:t>
      </w:r>
      <w:r w:rsidR="007B4575">
        <w:rPr>
          <w:bCs/>
        </w:rPr>
        <w:t xml:space="preserve"> the Deontic Weight Strategy</w:t>
      </w:r>
      <w:r w:rsidR="00D30BC5" w:rsidRPr="000B45F2">
        <w:rPr>
          <w:bCs/>
        </w:rPr>
        <w:t xml:space="preserve"> </w:t>
      </w:r>
      <w:r w:rsidRPr="000B45F2">
        <w:rPr>
          <w:bCs/>
        </w:rPr>
        <w:t xml:space="preserve">who wants to appeal to rights </w:t>
      </w:r>
      <w:r w:rsidR="00D30BC5" w:rsidRPr="000B45F2">
        <w:rPr>
          <w:bCs/>
        </w:rPr>
        <w:t xml:space="preserve">as a weighted notion </w:t>
      </w:r>
      <w:r w:rsidRPr="000B45F2">
        <w:rPr>
          <w:bCs/>
        </w:rPr>
        <w:t xml:space="preserve">in order to </w:t>
      </w:r>
      <w:r w:rsidRPr="000B45F2">
        <w:rPr>
          <w:bCs/>
          <w:i/>
          <w:iCs/>
        </w:rPr>
        <w:t>generate</w:t>
      </w:r>
      <w:r w:rsidR="00BB63FA">
        <w:rPr>
          <w:bCs/>
          <w:i/>
          <w:iCs/>
        </w:rPr>
        <w:t xml:space="preserve"> </w:t>
      </w:r>
      <w:r w:rsidR="00BB63FA" w:rsidRPr="00BB63FA">
        <w:rPr>
          <w:bCs/>
        </w:rPr>
        <w:t>predictions</w:t>
      </w:r>
      <w:r w:rsidRPr="000B45F2">
        <w:rPr>
          <w:bCs/>
          <w:i/>
          <w:iCs/>
        </w:rPr>
        <w:t xml:space="preserve"> </w:t>
      </w:r>
      <w:r w:rsidRPr="000B45F2">
        <w:rPr>
          <w:bCs/>
        </w:rPr>
        <w:t>about what actions are permissible or obligatory for an agent</w:t>
      </w:r>
      <w:r w:rsidR="00A0665C">
        <w:rPr>
          <w:bCs/>
        </w:rPr>
        <w:t xml:space="preserve"> rather than </w:t>
      </w:r>
      <w:r w:rsidR="00A0665C">
        <w:rPr>
          <w:bCs/>
          <w:i/>
          <w:iCs/>
        </w:rPr>
        <w:t xml:space="preserve">rationalize </w:t>
      </w:r>
      <w:r w:rsidR="0055248C">
        <w:rPr>
          <w:bCs/>
        </w:rPr>
        <w:t>them</w:t>
      </w:r>
      <w:r w:rsidR="00A0665C">
        <w:rPr>
          <w:bCs/>
        </w:rPr>
        <w:t>.</w:t>
      </w:r>
      <w:r w:rsidR="00F47D95" w:rsidRPr="000B45F2">
        <w:rPr>
          <w:bCs/>
        </w:rPr>
        <w:t xml:space="preserve"> </w:t>
      </w:r>
    </w:p>
    <w:p w14:paraId="32B43229" w14:textId="2ACBEF7B" w:rsidR="00691234" w:rsidRPr="000B45F2" w:rsidRDefault="00436946" w:rsidP="00880ACB">
      <w:pPr>
        <w:jc w:val="both"/>
        <w:rPr>
          <w:bCs/>
        </w:rPr>
      </w:pPr>
      <w:r w:rsidRPr="000B45F2">
        <w:rPr>
          <w:bCs/>
        </w:rPr>
        <w:t xml:space="preserve">While </w:t>
      </w:r>
      <w:r w:rsidR="00D13060" w:rsidRPr="000B45F2">
        <w:rPr>
          <w:bCs/>
        </w:rPr>
        <w:t>a proponent o</w:t>
      </w:r>
      <w:r w:rsidR="007B4575">
        <w:rPr>
          <w:bCs/>
        </w:rPr>
        <w:t>f the Deontic Weight Strategy</w:t>
      </w:r>
      <w:r w:rsidR="00D13060" w:rsidRPr="000B45F2">
        <w:rPr>
          <w:bCs/>
        </w:rPr>
        <w:t xml:space="preserve"> </w:t>
      </w:r>
      <w:r w:rsidR="007B4575">
        <w:rPr>
          <w:bCs/>
        </w:rPr>
        <w:t>that likes the</w:t>
      </w:r>
      <w:r w:rsidR="00D13060" w:rsidRPr="000B45F2">
        <w:rPr>
          <w:bCs/>
        </w:rPr>
        <w:t xml:space="preserve"> </w:t>
      </w:r>
      <w:r w:rsidRPr="000B45F2">
        <w:rPr>
          <w:bCs/>
        </w:rPr>
        <w:t>rights</w:t>
      </w:r>
      <w:r w:rsidR="007B4575">
        <w:rPr>
          <w:bCs/>
        </w:rPr>
        <w:t>-based approach</w:t>
      </w:r>
      <w:r w:rsidRPr="000B45F2">
        <w:rPr>
          <w:bCs/>
        </w:rPr>
        <w:t xml:space="preserve"> can say that </w:t>
      </w:r>
      <w:r w:rsidR="00D13060" w:rsidRPr="000B45F2">
        <w:rPr>
          <w:bCs/>
        </w:rPr>
        <w:t>developing such a theory is simply a matter</w:t>
      </w:r>
      <w:r w:rsidR="00691234" w:rsidRPr="000B45F2">
        <w:rPr>
          <w:bCs/>
        </w:rPr>
        <w:t xml:space="preserve"> of</w:t>
      </w:r>
      <w:r w:rsidR="00442C1F">
        <w:rPr>
          <w:bCs/>
        </w:rPr>
        <w:t xml:space="preserve"> ordinary</w:t>
      </w:r>
      <w:r w:rsidR="00691234" w:rsidRPr="000B45F2">
        <w:rPr>
          <w:bCs/>
        </w:rPr>
        <w:t xml:space="preserve"> normative theory</w:t>
      </w:r>
      <w:r w:rsidR="00D13060" w:rsidRPr="000B45F2">
        <w:rPr>
          <w:bCs/>
        </w:rPr>
        <w:t xml:space="preserve"> or that everyone has to </w:t>
      </w:r>
      <w:r w:rsidR="00DA6BE7">
        <w:rPr>
          <w:bCs/>
        </w:rPr>
        <w:t>appeal to some</w:t>
      </w:r>
      <w:r w:rsidR="00D13060" w:rsidRPr="000B45F2">
        <w:rPr>
          <w:bCs/>
        </w:rPr>
        <w:t xml:space="preserve"> assumptions about </w:t>
      </w:r>
      <w:r w:rsidR="005B3B8B">
        <w:rPr>
          <w:bCs/>
        </w:rPr>
        <w:t xml:space="preserve">deontic </w:t>
      </w:r>
      <w:r w:rsidR="00D13060" w:rsidRPr="000B45F2">
        <w:rPr>
          <w:bCs/>
        </w:rPr>
        <w:t>weight,</w:t>
      </w:r>
      <w:r w:rsidRPr="000B45F2">
        <w:rPr>
          <w:bCs/>
        </w:rPr>
        <w:t xml:space="preserve"> they should also recognize </w:t>
      </w:r>
      <w:r w:rsidR="003F431C">
        <w:rPr>
          <w:bCs/>
        </w:rPr>
        <w:t>the difficulty of providing such a theory</w:t>
      </w:r>
      <w:r w:rsidR="00FD7936">
        <w:rPr>
          <w:bCs/>
        </w:rPr>
        <w:t xml:space="preserve"> and clarifying s</w:t>
      </w:r>
      <w:r w:rsidR="00DA6BE7">
        <w:rPr>
          <w:bCs/>
        </w:rPr>
        <w:t>aid</w:t>
      </w:r>
      <w:r w:rsidR="00FD7936">
        <w:rPr>
          <w:bCs/>
        </w:rPr>
        <w:t xml:space="preserve"> assumptions</w:t>
      </w:r>
      <w:r w:rsidR="00E37457" w:rsidRPr="000B45F2">
        <w:rPr>
          <w:bCs/>
        </w:rPr>
        <w:t>. This is because the two m</w:t>
      </w:r>
      <w:r w:rsidR="00234B97">
        <w:rPr>
          <w:bCs/>
        </w:rPr>
        <w:t>ost prominent</w:t>
      </w:r>
      <w:r w:rsidR="00E37457" w:rsidRPr="000B45F2">
        <w:rPr>
          <w:bCs/>
        </w:rPr>
        <w:t xml:space="preserve"> justifications for rights</w:t>
      </w:r>
      <w:r w:rsidR="00691234" w:rsidRPr="000B45F2">
        <w:rPr>
          <w:bCs/>
        </w:rPr>
        <w:t xml:space="preserve"> and their grounds</w:t>
      </w:r>
      <w:r w:rsidR="00E37457" w:rsidRPr="000B45F2">
        <w:rPr>
          <w:bCs/>
        </w:rPr>
        <w:t xml:space="preserve"> create downstream problems for </w:t>
      </w:r>
      <w:r w:rsidR="0008771F" w:rsidRPr="000B45F2">
        <w:rPr>
          <w:bCs/>
        </w:rPr>
        <w:t>corresponding</w:t>
      </w:r>
      <w:r w:rsidR="00E37457" w:rsidRPr="000B45F2">
        <w:rPr>
          <w:bCs/>
        </w:rPr>
        <w:t xml:space="preserve"> theo</w:t>
      </w:r>
      <w:r w:rsidR="00A57D7F" w:rsidRPr="000B45F2">
        <w:rPr>
          <w:bCs/>
        </w:rPr>
        <w:t>ries</w:t>
      </w:r>
      <w:r w:rsidR="00E37457" w:rsidRPr="000B45F2">
        <w:rPr>
          <w:bCs/>
        </w:rPr>
        <w:t xml:space="preserve"> of their deontic weight</w:t>
      </w:r>
      <w:r w:rsidR="00F7076B">
        <w:rPr>
          <w:bCs/>
        </w:rPr>
        <w:t xml:space="preserve"> when applied to the Deontic Weight Strategy</w:t>
      </w:r>
      <w:r w:rsidR="00E37457" w:rsidRPr="000B45F2">
        <w:rPr>
          <w:bCs/>
        </w:rPr>
        <w:t xml:space="preserve">. </w:t>
      </w:r>
      <w:r w:rsidR="00CB2223">
        <w:rPr>
          <w:bCs/>
        </w:rPr>
        <w:t xml:space="preserve">Rights and weights </w:t>
      </w:r>
      <w:r w:rsidR="00E3406B">
        <w:rPr>
          <w:bCs/>
        </w:rPr>
        <w:t xml:space="preserve">make </w:t>
      </w:r>
      <w:r w:rsidR="000268DF">
        <w:rPr>
          <w:bCs/>
        </w:rPr>
        <w:t>strange</w:t>
      </w:r>
      <w:r w:rsidR="00CB2223">
        <w:rPr>
          <w:bCs/>
        </w:rPr>
        <w:t xml:space="preserve"> bedfellows.</w:t>
      </w:r>
    </w:p>
    <w:p w14:paraId="2CB26481" w14:textId="36E1A25F" w:rsidR="00691234" w:rsidRPr="000B45F2" w:rsidRDefault="00E37457" w:rsidP="00880ACB">
      <w:pPr>
        <w:jc w:val="both"/>
        <w:rPr>
          <w:bCs/>
        </w:rPr>
      </w:pPr>
      <w:r w:rsidRPr="000B45F2">
        <w:rPr>
          <w:bCs/>
        </w:rPr>
        <w:t>First, status-based justifications for rights (</w:t>
      </w:r>
      <w:r w:rsidR="00691234" w:rsidRPr="000B45F2">
        <w:rPr>
          <w:bCs/>
        </w:rPr>
        <w:t>rights a</w:t>
      </w:r>
      <w:r w:rsidR="00D07A7D" w:rsidRPr="000B45F2">
        <w:rPr>
          <w:bCs/>
        </w:rPr>
        <w:t>s</w:t>
      </w:r>
      <w:r w:rsidR="00691234" w:rsidRPr="000B45F2">
        <w:rPr>
          <w:bCs/>
        </w:rPr>
        <w:t xml:space="preserve"> grounded in an agent’s</w:t>
      </w:r>
      <w:r w:rsidRPr="000B45F2">
        <w:rPr>
          <w:bCs/>
        </w:rPr>
        <w:t xml:space="preserve"> freedom, dignity, </w:t>
      </w:r>
      <w:r w:rsidR="00710225">
        <w:rPr>
          <w:bCs/>
        </w:rPr>
        <w:t>rationality</w:t>
      </w:r>
      <w:r w:rsidRPr="000B45F2">
        <w:rPr>
          <w:bCs/>
        </w:rPr>
        <w:t>, etc.) tend to treat rights as trumps that</w:t>
      </w:r>
      <w:r w:rsidR="00691234" w:rsidRPr="000B45F2">
        <w:rPr>
          <w:bCs/>
        </w:rPr>
        <w:t xml:space="preserve"> end further</w:t>
      </w:r>
      <w:r w:rsidRPr="000B45F2">
        <w:rPr>
          <w:bCs/>
        </w:rPr>
        <w:t xml:space="preserve"> </w:t>
      </w:r>
      <w:r w:rsidR="000C320F" w:rsidRPr="000B45F2">
        <w:rPr>
          <w:bCs/>
        </w:rPr>
        <w:t>practical</w:t>
      </w:r>
      <w:r w:rsidRPr="000B45F2">
        <w:rPr>
          <w:bCs/>
        </w:rPr>
        <w:t xml:space="preserve"> deliberation.</w:t>
      </w:r>
      <w:r w:rsidR="005F384E" w:rsidRPr="000B45F2">
        <w:rPr>
          <w:rStyle w:val="FootnoteReference"/>
          <w:bCs/>
        </w:rPr>
        <w:footnoteReference w:id="33"/>
      </w:r>
      <w:r w:rsidR="001543F3" w:rsidRPr="000B45F2">
        <w:rPr>
          <w:bCs/>
        </w:rPr>
        <w:t xml:space="preserve"> But if rights are supposed to function as trumps, they either </w:t>
      </w:r>
      <w:r w:rsidR="00247532" w:rsidRPr="000B45F2">
        <w:rPr>
          <w:bCs/>
        </w:rPr>
        <w:t>h</w:t>
      </w:r>
      <w:r w:rsidR="001543F3" w:rsidRPr="000B45F2">
        <w:rPr>
          <w:bCs/>
        </w:rPr>
        <w:t>ave</w:t>
      </w:r>
      <w:r w:rsidRPr="000B45F2">
        <w:rPr>
          <w:bCs/>
        </w:rPr>
        <w:t xml:space="preserve"> </w:t>
      </w:r>
      <w:r w:rsidR="004435BE" w:rsidRPr="000B45F2">
        <w:rPr>
          <w:bCs/>
        </w:rPr>
        <w:t xml:space="preserve">(i) </w:t>
      </w:r>
      <w:r w:rsidRPr="000B45F2">
        <w:rPr>
          <w:bCs/>
        </w:rPr>
        <w:t xml:space="preserve">infinite deontic weight or </w:t>
      </w:r>
      <w:r w:rsidR="004435BE" w:rsidRPr="000B45F2">
        <w:rPr>
          <w:bCs/>
        </w:rPr>
        <w:t xml:space="preserve">(ii) </w:t>
      </w:r>
      <w:r w:rsidRPr="000B45F2">
        <w:rPr>
          <w:bCs/>
        </w:rPr>
        <w:t>whatever deontic weight is necessary to generate the restrictions or permissions that we find plausible.</w:t>
      </w:r>
      <w:r w:rsidR="004435BE" w:rsidRPr="000B45F2">
        <w:rPr>
          <w:bCs/>
        </w:rPr>
        <w:t xml:space="preserve"> </w:t>
      </w:r>
      <w:r w:rsidR="001543F3" w:rsidRPr="000B45F2">
        <w:rPr>
          <w:bCs/>
        </w:rPr>
        <w:t xml:space="preserve">The first option is </w:t>
      </w:r>
      <w:r w:rsidR="004435BE" w:rsidRPr="000B45F2">
        <w:rPr>
          <w:bCs/>
        </w:rPr>
        <w:t>implausible</w:t>
      </w:r>
      <w:r w:rsidR="009351E1">
        <w:rPr>
          <w:bCs/>
        </w:rPr>
        <w:t>.</w:t>
      </w:r>
      <w:r w:rsidR="00CE0549" w:rsidRPr="000B45F2">
        <w:rPr>
          <w:bCs/>
        </w:rPr>
        <w:t xml:space="preserve"> </w:t>
      </w:r>
      <w:r w:rsidR="009351E1">
        <w:rPr>
          <w:bCs/>
        </w:rPr>
        <w:t>T</w:t>
      </w:r>
      <w:r w:rsidR="001543F3" w:rsidRPr="000B45F2">
        <w:rPr>
          <w:bCs/>
        </w:rPr>
        <w:t>he second</w:t>
      </w:r>
      <w:r w:rsidR="004435BE" w:rsidRPr="000B45F2">
        <w:rPr>
          <w:bCs/>
        </w:rPr>
        <w:t xml:space="preserve"> </w:t>
      </w:r>
      <w:r w:rsidR="009351E1">
        <w:rPr>
          <w:bCs/>
        </w:rPr>
        <w:t>still leaves us without the</w:t>
      </w:r>
      <w:r w:rsidR="004435BE" w:rsidRPr="000B45F2">
        <w:rPr>
          <w:bCs/>
        </w:rPr>
        <w:t xml:space="preserve"> ability to </w:t>
      </w:r>
      <w:r w:rsidR="004435BE" w:rsidRPr="003E4098">
        <w:rPr>
          <w:bCs/>
        </w:rPr>
        <w:t xml:space="preserve">generate </w:t>
      </w:r>
      <w:r w:rsidR="004435BE" w:rsidRPr="000B45F2">
        <w:rPr>
          <w:bCs/>
        </w:rPr>
        <w:t>predictions about permissions and restrictions</w:t>
      </w:r>
      <w:r w:rsidR="00247532" w:rsidRPr="000B45F2">
        <w:rPr>
          <w:bCs/>
        </w:rPr>
        <w:t xml:space="preserve"> </w:t>
      </w:r>
      <w:r w:rsidR="003D21DA" w:rsidRPr="000B45F2">
        <w:rPr>
          <w:bCs/>
        </w:rPr>
        <w:t>as opposed to a way of merely</w:t>
      </w:r>
      <w:r w:rsidR="00247532" w:rsidRPr="000B45F2">
        <w:rPr>
          <w:bCs/>
        </w:rPr>
        <w:t xml:space="preserve"> </w:t>
      </w:r>
      <w:r w:rsidR="00CE0549" w:rsidRPr="003E4098">
        <w:rPr>
          <w:bCs/>
        </w:rPr>
        <w:t>rationaliz</w:t>
      </w:r>
      <w:r w:rsidR="003D21DA" w:rsidRPr="003E4098">
        <w:rPr>
          <w:bCs/>
        </w:rPr>
        <w:t>ing</w:t>
      </w:r>
      <w:r w:rsidR="003D21DA" w:rsidRPr="000B45F2">
        <w:rPr>
          <w:bCs/>
        </w:rPr>
        <w:t xml:space="preserve"> </w:t>
      </w:r>
      <w:r w:rsidR="004435BE" w:rsidRPr="000B45F2">
        <w:rPr>
          <w:bCs/>
        </w:rPr>
        <w:t>them.</w:t>
      </w:r>
      <w:r w:rsidR="00691234" w:rsidRPr="000B45F2">
        <w:rPr>
          <w:bCs/>
        </w:rPr>
        <w:t xml:space="preserve"> </w:t>
      </w:r>
      <w:r w:rsidR="004B34A2" w:rsidRPr="000B45F2">
        <w:rPr>
          <w:bCs/>
        </w:rPr>
        <w:t xml:space="preserve">The same points apply with even more force to a hierarchy of meta-rights. </w:t>
      </w:r>
      <w:r w:rsidR="009351E1">
        <w:rPr>
          <w:bCs/>
        </w:rPr>
        <w:t>It is already</w:t>
      </w:r>
      <w:r w:rsidR="004B34A2" w:rsidRPr="000B45F2">
        <w:rPr>
          <w:bCs/>
        </w:rPr>
        <w:t xml:space="preserve"> unclear what such rights are grounded in and </w:t>
      </w:r>
      <w:r w:rsidR="003D40B8" w:rsidRPr="000B45F2">
        <w:rPr>
          <w:bCs/>
        </w:rPr>
        <w:t xml:space="preserve">whether </w:t>
      </w:r>
      <w:r w:rsidR="008E45ED" w:rsidRPr="000B45F2">
        <w:rPr>
          <w:bCs/>
        </w:rPr>
        <w:t>such grounds can be separate from</w:t>
      </w:r>
      <w:r w:rsidR="004B34A2" w:rsidRPr="000B45F2">
        <w:rPr>
          <w:bCs/>
        </w:rPr>
        <w:t xml:space="preserve"> the entities that ground first-order rights. Furthermore, if meta-rights are supposed to allow us to tell ourselves or others to “buzz off,” then they</w:t>
      </w:r>
      <w:r w:rsidR="000D0B5B">
        <w:rPr>
          <w:bCs/>
        </w:rPr>
        <w:t xml:space="preserve"> seem to</w:t>
      </w:r>
      <w:r w:rsidR="004B34A2" w:rsidRPr="000B45F2">
        <w:rPr>
          <w:bCs/>
        </w:rPr>
        <w:t xml:space="preserve"> function precisely as trumps.</w:t>
      </w:r>
    </w:p>
    <w:p w14:paraId="43ABF1F8" w14:textId="49DB3795" w:rsidR="0091431E" w:rsidRPr="000B45F2" w:rsidRDefault="000D0B5B" w:rsidP="00880ACB">
      <w:pPr>
        <w:jc w:val="both"/>
        <w:rPr>
          <w:bCs/>
        </w:rPr>
      </w:pPr>
      <w:r>
        <w:rPr>
          <w:bCs/>
        </w:rPr>
        <w:t xml:space="preserve">But suppose </w:t>
      </w:r>
      <w:r w:rsidR="008E45ED" w:rsidRPr="000B45F2">
        <w:rPr>
          <w:bCs/>
        </w:rPr>
        <w:t>we give an</w:t>
      </w:r>
      <w:r w:rsidR="00155CE9" w:rsidRPr="000B45F2">
        <w:rPr>
          <w:bCs/>
        </w:rPr>
        <w:t xml:space="preserve"> instrumentalist-based justification for rights </w:t>
      </w:r>
      <w:r w:rsidR="008E45ED" w:rsidRPr="000B45F2">
        <w:rPr>
          <w:bCs/>
        </w:rPr>
        <w:t xml:space="preserve">instead </w:t>
      </w:r>
      <w:r w:rsidR="00155CE9" w:rsidRPr="000B45F2">
        <w:rPr>
          <w:bCs/>
        </w:rPr>
        <w:t>(</w:t>
      </w:r>
      <w:r w:rsidR="00EE487E">
        <w:rPr>
          <w:bCs/>
        </w:rPr>
        <w:t xml:space="preserve">perhaps using </w:t>
      </w:r>
      <w:r w:rsidR="0091431E" w:rsidRPr="000B45F2">
        <w:rPr>
          <w:bCs/>
        </w:rPr>
        <w:t>some form of</w:t>
      </w:r>
      <w:r w:rsidR="005F384E" w:rsidRPr="000B45F2">
        <w:rPr>
          <w:bCs/>
        </w:rPr>
        <w:t xml:space="preserve"> rule consequentialism</w:t>
      </w:r>
      <w:r w:rsidR="00155CE9" w:rsidRPr="000B45F2">
        <w:rPr>
          <w:bCs/>
        </w:rPr>
        <w:t>)</w:t>
      </w:r>
      <w:r w:rsidR="008E45ED" w:rsidRPr="000B45F2">
        <w:rPr>
          <w:bCs/>
        </w:rPr>
        <w:t xml:space="preserve">. </w:t>
      </w:r>
      <w:r w:rsidR="00EE487E">
        <w:rPr>
          <w:bCs/>
        </w:rPr>
        <w:t>But note that on</w:t>
      </w:r>
      <w:r w:rsidR="008E45ED" w:rsidRPr="000B45F2">
        <w:rPr>
          <w:bCs/>
        </w:rPr>
        <w:t xml:space="preserve"> these accounts</w:t>
      </w:r>
      <w:r w:rsidR="0091431E" w:rsidRPr="000B45F2">
        <w:rPr>
          <w:bCs/>
        </w:rPr>
        <w:t>,</w:t>
      </w:r>
      <w:r w:rsidR="008E45ED" w:rsidRPr="000B45F2">
        <w:rPr>
          <w:bCs/>
        </w:rPr>
        <w:t xml:space="preserve"> </w:t>
      </w:r>
      <w:r w:rsidR="00155CE9" w:rsidRPr="000B45F2">
        <w:rPr>
          <w:bCs/>
        </w:rPr>
        <w:t xml:space="preserve">rights </w:t>
      </w:r>
      <w:r w:rsidR="00811A83" w:rsidRPr="000B45F2">
        <w:rPr>
          <w:bCs/>
        </w:rPr>
        <w:t>only have deontic weight to the extent that</w:t>
      </w:r>
      <w:r w:rsidR="00155CE9" w:rsidRPr="000B45F2">
        <w:rPr>
          <w:bCs/>
        </w:rPr>
        <w:t xml:space="preserve"> </w:t>
      </w:r>
      <w:r w:rsidR="00811A83" w:rsidRPr="000B45F2">
        <w:rPr>
          <w:bCs/>
        </w:rPr>
        <w:t xml:space="preserve">they </w:t>
      </w:r>
      <w:r w:rsidR="00155CE9" w:rsidRPr="000B45F2">
        <w:rPr>
          <w:bCs/>
        </w:rPr>
        <w:t xml:space="preserve">are </w:t>
      </w:r>
      <w:r w:rsidR="00811A83" w:rsidRPr="000B45F2">
        <w:rPr>
          <w:bCs/>
        </w:rPr>
        <w:t>useful for</w:t>
      </w:r>
      <w:r w:rsidR="00155CE9" w:rsidRPr="000B45F2">
        <w:rPr>
          <w:bCs/>
        </w:rPr>
        <w:t xml:space="preserve"> promot</w:t>
      </w:r>
      <w:r w:rsidR="00811A83" w:rsidRPr="000B45F2">
        <w:rPr>
          <w:bCs/>
        </w:rPr>
        <w:t>ing</w:t>
      </w:r>
      <w:r>
        <w:rPr>
          <w:bCs/>
        </w:rPr>
        <w:t xml:space="preserve"> value</w:t>
      </w:r>
      <w:r w:rsidR="00155CE9" w:rsidRPr="000B45F2">
        <w:rPr>
          <w:bCs/>
        </w:rPr>
        <w:t xml:space="preserve">. </w:t>
      </w:r>
      <w:r w:rsidR="003E4098">
        <w:rPr>
          <w:bCs/>
        </w:rPr>
        <w:t>Rights</w:t>
      </w:r>
      <w:r w:rsidR="00B06D3D" w:rsidRPr="000B45F2">
        <w:rPr>
          <w:bCs/>
        </w:rPr>
        <w:t xml:space="preserve"> can be dispensed with altogether if recognizing them</w:t>
      </w:r>
      <w:r w:rsidR="00EE487E">
        <w:rPr>
          <w:bCs/>
        </w:rPr>
        <w:t xml:space="preserve"> </w:t>
      </w:r>
      <w:r w:rsidR="00CE0549" w:rsidRPr="000B45F2">
        <w:rPr>
          <w:bCs/>
        </w:rPr>
        <w:t>fails to</w:t>
      </w:r>
      <w:r w:rsidR="00B06D3D" w:rsidRPr="000B45F2">
        <w:rPr>
          <w:bCs/>
        </w:rPr>
        <w:t xml:space="preserve"> </w:t>
      </w:r>
      <w:r w:rsidR="003E4098">
        <w:rPr>
          <w:bCs/>
        </w:rPr>
        <w:t>do so</w:t>
      </w:r>
      <w:r w:rsidR="00B06D3D" w:rsidRPr="000B45F2">
        <w:rPr>
          <w:bCs/>
        </w:rPr>
        <w:t>.</w:t>
      </w:r>
      <w:r w:rsidR="00EE487E">
        <w:rPr>
          <w:bCs/>
        </w:rPr>
        <w:t xml:space="preserve"> If so, the </w:t>
      </w:r>
      <w:r w:rsidR="00B06D3D" w:rsidRPr="000B45F2">
        <w:rPr>
          <w:bCs/>
        </w:rPr>
        <w:t xml:space="preserve">deontic weight </w:t>
      </w:r>
      <w:r w:rsidR="00CE0549" w:rsidRPr="000B45F2">
        <w:rPr>
          <w:bCs/>
        </w:rPr>
        <w:t>of ri</w:t>
      </w:r>
      <w:r w:rsidR="00EE487E">
        <w:rPr>
          <w:bCs/>
        </w:rPr>
        <w:t xml:space="preserve">ghts may not be as robust as the defender of the Deontic Weight Strategy might have wanted. At the limit case where rights have no deontic weight, </w:t>
      </w:r>
      <w:r w:rsidR="00EE487E">
        <w:rPr>
          <w:bCs/>
        </w:rPr>
        <w:lastRenderedPageBreak/>
        <w:t>the strategy is even trivialized</w:t>
      </w:r>
      <w:r w:rsidR="00A874EE" w:rsidRPr="000B45F2">
        <w:rPr>
          <w:bCs/>
        </w:rPr>
        <w:t xml:space="preserve"> -</w:t>
      </w:r>
      <w:r w:rsidR="001A1E77" w:rsidRPr="000B45F2">
        <w:rPr>
          <w:bCs/>
        </w:rPr>
        <w:t xml:space="preserve"> asserting or waiving right</w:t>
      </w:r>
      <w:r w:rsidR="00EE487E">
        <w:rPr>
          <w:bCs/>
        </w:rPr>
        <w:t>s</w:t>
      </w:r>
      <w:r w:rsidR="0008771F" w:rsidRPr="000B45F2">
        <w:rPr>
          <w:bCs/>
        </w:rPr>
        <w:t xml:space="preserve"> with zero deontic weight</w:t>
      </w:r>
      <w:r w:rsidR="001A1E77" w:rsidRPr="000B45F2">
        <w:rPr>
          <w:bCs/>
        </w:rPr>
        <w:t xml:space="preserve"> </w:t>
      </w:r>
      <w:r w:rsidR="00A874EE" w:rsidRPr="000B45F2">
        <w:rPr>
          <w:bCs/>
        </w:rPr>
        <w:t>makes no</w:t>
      </w:r>
      <w:r w:rsidR="00DA6147">
        <w:rPr>
          <w:bCs/>
        </w:rPr>
        <w:t xml:space="preserve"> normative</w:t>
      </w:r>
      <w:r w:rsidR="00A874EE" w:rsidRPr="000B45F2">
        <w:rPr>
          <w:bCs/>
        </w:rPr>
        <w:t xml:space="preserve"> </w:t>
      </w:r>
      <w:r w:rsidR="00E038A0" w:rsidRPr="000B45F2">
        <w:rPr>
          <w:bCs/>
        </w:rPr>
        <w:t>impact</w:t>
      </w:r>
      <w:r w:rsidR="001A1E77" w:rsidRPr="000B45F2">
        <w:rPr>
          <w:bCs/>
        </w:rPr>
        <w:t>.</w:t>
      </w:r>
      <w:r w:rsidR="00C964DA" w:rsidRPr="000B45F2">
        <w:rPr>
          <w:rStyle w:val="FootnoteReference"/>
          <w:bCs/>
        </w:rPr>
        <w:footnoteReference w:id="34"/>
      </w:r>
      <w:r w:rsidR="00A31646" w:rsidRPr="000B45F2">
        <w:rPr>
          <w:bCs/>
        </w:rPr>
        <w:t xml:space="preserve"> </w:t>
      </w:r>
    </w:p>
    <w:p w14:paraId="6A7DB42B" w14:textId="336F5175" w:rsidR="000D61DF" w:rsidRPr="000B45F2" w:rsidRDefault="00E065B7" w:rsidP="00880ACB">
      <w:pPr>
        <w:jc w:val="both"/>
        <w:rPr>
          <w:bCs/>
        </w:rPr>
      </w:pPr>
      <w:r>
        <w:rPr>
          <w:bCs/>
        </w:rPr>
        <w:t>Granted, there may be a</w:t>
      </w:r>
      <w:r w:rsidR="000D61DF" w:rsidRPr="000B45F2">
        <w:rPr>
          <w:bCs/>
        </w:rPr>
        <w:t xml:space="preserve"> </w:t>
      </w:r>
      <w:r w:rsidR="00A31646" w:rsidRPr="000B45F2">
        <w:rPr>
          <w:bCs/>
        </w:rPr>
        <w:t xml:space="preserve">third justification that provides an independently motivated theory </w:t>
      </w:r>
      <w:r w:rsidR="004923DC" w:rsidRPr="000B45F2">
        <w:rPr>
          <w:bCs/>
        </w:rPr>
        <w:t>of a right’s deontic weight</w:t>
      </w:r>
      <w:r w:rsidR="00D92846">
        <w:rPr>
          <w:bCs/>
        </w:rPr>
        <w:t>.</w:t>
      </w:r>
      <w:r w:rsidR="00D92846" w:rsidRPr="000B45F2">
        <w:rPr>
          <w:rStyle w:val="FootnoteReference"/>
          <w:bCs/>
        </w:rPr>
        <w:footnoteReference w:id="35"/>
      </w:r>
      <w:r w:rsidR="00D92846" w:rsidRPr="000B45F2">
        <w:rPr>
          <w:bCs/>
        </w:rPr>
        <w:t xml:space="preserve"> </w:t>
      </w:r>
      <w:r w:rsidR="00D92846">
        <w:rPr>
          <w:bCs/>
        </w:rPr>
        <w:t>T</w:t>
      </w:r>
      <w:r w:rsidR="00A31646" w:rsidRPr="000B45F2">
        <w:rPr>
          <w:bCs/>
        </w:rPr>
        <w:t xml:space="preserve">hat </w:t>
      </w:r>
      <w:r w:rsidR="00D92846">
        <w:rPr>
          <w:bCs/>
        </w:rPr>
        <w:t xml:space="preserve">said, it is not clear </w:t>
      </w:r>
      <w:r w:rsidR="00AD1881">
        <w:rPr>
          <w:bCs/>
        </w:rPr>
        <w:t>whether such a</w:t>
      </w:r>
      <w:r w:rsidR="00D92846">
        <w:rPr>
          <w:bCs/>
        </w:rPr>
        <w:t xml:space="preserve"> theory of rights can explain how the</w:t>
      </w:r>
      <w:r w:rsidR="00AD1881">
        <w:rPr>
          <w:bCs/>
        </w:rPr>
        <w:t>ir weights</w:t>
      </w:r>
      <w:r w:rsidR="00D92846">
        <w:rPr>
          <w:bCs/>
        </w:rPr>
        <w:t xml:space="preserve"> are </w:t>
      </w:r>
      <w:r w:rsidR="00A31646" w:rsidRPr="000B45F2">
        <w:rPr>
          <w:bCs/>
        </w:rPr>
        <w:t>not reducible to</w:t>
      </w:r>
      <w:r w:rsidR="00C71CFC" w:rsidRPr="000B45F2">
        <w:rPr>
          <w:bCs/>
        </w:rPr>
        <w:t>,</w:t>
      </w:r>
      <w:r w:rsidR="00A31646" w:rsidRPr="000B45F2">
        <w:rPr>
          <w:bCs/>
        </w:rPr>
        <w:t xml:space="preserve"> but still commensurable with</w:t>
      </w:r>
      <w:r w:rsidR="00C71CFC" w:rsidRPr="000B45F2">
        <w:rPr>
          <w:bCs/>
        </w:rPr>
        <w:t>,</w:t>
      </w:r>
      <w:r w:rsidR="00A31646" w:rsidRPr="000B45F2">
        <w:rPr>
          <w:bCs/>
        </w:rPr>
        <w:t xml:space="preserve"> the deontic weight of</w:t>
      </w:r>
      <w:r w:rsidR="00172AD5" w:rsidRPr="000B45F2">
        <w:rPr>
          <w:bCs/>
        </w:rPr>
        <w:t xml:space="preserve"> other considerations including goodness/value</w:t>
      </w:r>
      <w:r w:rsidR="00C71CFC" w:rsidRPr="000B45F2">
        <w:rPr>
          <w:bCs/>
        </w:rPr>
        <w:t xml:space="preserve"> along with other atelic considerations (e.g.</w:t>
      </w:r>
      <w:r w:rsidR="008F1CDB">
        <w:rPr>
          <w:bCs/>
        </w:rPr>
        <w:t>,</w:t>
      </w:r>
      <w:r w:rsidR="00C71CFC" w:rsidRPr="000B45F2">
        <w:rPr>
          <w:bCs/>
        </w:rPr>
        <w:t xml:space="preserve"> promises, commitments, etc.)</w:t>
      </w:r>
      <w:r w:rsidR="00A31646" w:rsidRPr="000B45F2">
        <w:rPr>
          <w:bCs/>
        </w:rPr>
        <w:t>.</w:t>
      </w:r>
      <w:r w:rsidR="00C964DA" w:rsidRPr="000B45F2">
        <w:rPr>
          <w:bCs/>
        </w:rPr>
        <w:t xml:space="preserve"> </w:t>
      </w:r>
    </w:p>
    <w:p w14:paraId="0EC1D9C0" w14:textId="5094C766" w:rsidR="00E85735" w:rsidRDefault="006F3E9D" w:rsidP="00880ACB">
      <w:pPr>
        <w:jc w:val="both"/>
        <w:rPr>
          <w:bCs/>
        </w:rPr>
      </w:pPr>
      <w:r>
        <w:rPr>
          <w:bCs/>
        </w:rPr>
        <w:t xml:space="preserve">To conclude </w:t>
      </w:r>
      <w:r w:rsidR="0030262B">
        <w:rPr>
          <w:bCs/>
        </w:rPr>
        <w:t>a bit more optimistically</w:t>
      </w:r>
      <w:r>
        <w:rPr>
          <w:bCs/>
        </w:rPr>
        <w:t>,</w:t>
      </w:r>
      <w:r w:rsidR="00BC5761">
        <w:rPr>
          <w:bCs/>
        </w:rPr>
        <w:t xml:space="preserve"> if no such theory is forthcoming, </w:t>
      </w:r>
      <w:r w:rsidR="0030262B">
        <w:rPr>
          <w:bCs/>
        </w:rPr>
        <w:t>perhaps we can</w:t>
      </w:r>
      <w:r w:rsidR="00BC5761">
        <w:rPr>
          <w:bCs/>
        </w:rPr>
        <w:t xml:space="preserve"> simply forgo it</w:t>
      </w:r>
      <w:r w:rsidR="00AD1881">
        <w:rPr>
          <w:bCs/>
        </w:rPr>
        <w:t xml:space="preserve"> by claiming that </w:t>
      </w:r>
      <w:r w:rsidR="00171CDF">
        <w:rPr>
          <w:bCs/>
        </w:rPr>
        <w:t xml:space="preserve">rights are </w:t>
      </w:r>
      <w:r w:rsidR="000D61DF" w:rsidRPr="000B45F2">
        <w:rPr>
          <w:bCs/>
        </w:rPr>
        <w:t>normative</w:t>
      </w:r>
      <w:r w:rsidR="00AD1881">
        <w:rPr>
          <w:bCs/>
        </w:rPr>
        <w:t>ly</w:t>
      </w:r>
      <w:r w:rsidR="000D61DF" w:rsidRPr="000B45F2">
        <w:rPr>
          <w:bCs/>
        </w:rPr>
        <w:t xml:space="preserve"> primitive</w:t>
      </w:r>
      <w:r w:rsidR="0030262B">
        <w:rPr>
          <w:bCs/>
        </w:rPr>
        <w:t xml:space="preserve">. </w:t>
      </w:r>
      <w:r w:rsidR="00AD1881">
        <w:rPr>
          <w:bCs/>
        </w:rPr>
        <w:t>This would require us to find other ways of resolving the first two issues. If we can do this (a somewhat big if),</w:t>
      </w:r>
      <w:r w:rsidR="000D61DF" w:rsidRPr="000B45F2">
        <w:rPr>
          <w:bCs/>
        </w:rPr>
        <w:t xml:space="preserve"> </w:t>
      </w:r>
      <w:r w:rsidR="00AD1881">
        <w:rPr>
          <w:bCs/>
        </w:rPr>
        <w:t xml:space="preserve">then </w:t>
      </w:r>
      <w:r w:rsidR="00171CDF">
        <w:rPr>
          <w:bCs/>
        </w:rPr>
        <w:t>just</w:t>
      </w:r>
      <w:r w:rsidR="000D61DF" w:rsidRPr="000B45F2">
        <w:rPr>
          <w:bCs/>
        </w:rPr>
        <w:t xml:space="preserve"> as we </w:t>
      </w:r>
      <w:r w:rsidR="00AD1881">
        <w:rPr>
          <w:bCs/>
        </w:rPr>
        <w:t xml:space="preserve">already </w:t>
      </w:r>
      <w:r w:rsidR="000D61DF" w:rsidRPr="000B45F2">
        <w:rPr>
          <w:bCs/>
        </w:rPr>
        <w:t xml:space="preserve">accept </w:t>
      </w:r>
      <w:r w:rsidR="00E87717">
        <w:rPr>
          <w:bCs/>
        </w:rPr>
        <w:t xml:space="preserve">basic </w:t>
      </w:r>
      <w:r w:rsidR="000D61DF" w:rsidRPr="000B45F2">
        <w:rPr>
          <w:bCs/>
        </w:rPr>
        <w:t>intuitions about the weights of other</w:t>
      </w:r>
      <w:r w:rsidR="001B4CE6">
        <w:rPr>
          <w:bCs/>
        </w:rPr>
        <w:t xml:space="preserve"> </w:t>
      </w:r>
      <w:r w:rsidR="001A5BD7">
        <w:rPr>
          <w:bCs/>
        </w:rPr>
        <w:t>purported</w:t>
      </w:r>
      <w:r w:rsidR="000D61DF" w:rsidRPr="000B45F2">
        <w:rPr>
          <w:bCs/>
        </w:rPr>
        <w:t xml:space="preserve"> normative primitives</w:t>
      </w:r>
      <w:r w:rsidR="009351E1">
        <w:rPr>
          <w:bCs/>
        </w:rPr>
        <w:t xml:space="preserve"> (e.g.</w:t>
      </w:r>
      <w:r w:rsidR="008F1CDB">
        <w:rPr>
          <w:bCs/>
        </w:rPr>
        <w:t>,</w:t>
      </w:r>
      <w:r w:rsidR="009351E1">
        <w:rPr>
          <w:bCs/>
        </w:rPr>
        <w:t xml:space="preserve"> reasons, values, etc.)</w:t>
      </w:r>
      <w:r w:rsidR="000D61DF" w:rsidRPr="000B45F2">
        <w:rPr>
          <w:bCs/>
        </w:rPr>
        <w:t xml:space="preserve">, </w:t>
      </w:r>
      <w:r w:rsidR="00106E4F">
        <w:rPr>
          <w:bCs/>
        </w:rPr>
        <w:t xml:space="preserve">perhaps </w:t>
      </w:r>
      <w:r w:rsidR="000D61DF" w:rsidRPr="000B45F2">
        <w:rPr>
          <w:bCs/>
        </w:rPr>
        <w:t xml:space="preserve">we </w:t>
      </w:r>
      <w:r w:rsidR="00106E4F">
        <w:rPr>
          <w:bCs/>
        </w:rPr>
        <w:t>can</w:t>
      </w:r>
      <w:r w:rsidR="00171CDF">
        <w:rPr>
          <w:bCs/>
        </w:rPr>
        <w:t xml:space="preserve"> also</w:t>
      </w:r>
      <w:r w:rsidR="00E579B9">
        <w:rPr>
          <w:bCs/>
        </w:rPr>
        <w:t xml:space="preserve"> accept</w:t>
      </w:r>
      <w:r w:rsidR="00E87717">
        <w:rPr>
          <w:bCs/>
        </w:rPr>
        <w:t xml:space="preserve"> basic</w:t>
      </w:r>
      <w:r w:rsidR="00E579B9">
        <w:rPr>
          <w:bCs/>
        </w:rPr>
        <w:t xml:space="preserve"> </w:t>
      </w:r>
      <w:r w:rsidR="00E87717">
        <w:rPr>
          <w:bCs/>
        </w:rPr>
        <w:t xml:space="preserve">intuitions </w:t>
      </w:r>
      <w:r w:rsidR="00E579B9">
        <w:rPr>
          <w:bCs/>
        </w:rPr>
        <w:t>about the weight</w:t>
      </w:r>
      <w:r w:rsidR="002125A0">
        <w:rPr>
          <w:bCs/>
        </w:rPr>
        <w:t>s</w:t>
      </w:r>
      <w:r w:rsidR="00E579B9">
        <w:rPr>
          <w:bCs/>
        </w:rPr>
        <w:t xml:space="preserve"> of</w:t>
      </w:r>
      <w:r w:rsidR="000D61DF" w:rsidRPr="000B45F2">
        <w:rPr>
          <w:bCs/>
        </w:rPr>
        <w:t xml:space="preserve"> rights</w:t>
      </w:r>
      <w:r w:rsidR="002E6344">
        <w:rPr>
          <w:bCs/>
        </w:rPr>
        <w:t xml:space="preserve"> </w:t>
      </w:r>
      <w:r w:rsidR="00106E4F">
        <w:rPr>
          <w:bCs/>
        </w:rPr>
        <w:t>without</w:t>
      </w:r>
      <w:r w:rsidR="002E6344">
        <w:rPr>
          <w:bCs/>
        </w:rPr>
        <w:t xml:space="preserve"> further </w:t>
      </w:r>
      <w:r w:rsidR="00AD1881">
        <w:rPr>
          <w:bCs/>
        </w:rPr>
        <w:t xml:space="preserve">attempts at </w:t>
      </w:r>
      <w:r w:rsidR="002E6344">
        <w:rPr>
          <w:bCs/>
        </w:rPr>
        <w:t>analysis</w:t>
      </w:r>
      <w:r w:rsidR="00106E4F">
        <w:rPr>
          <w:bCs/>
        </w:rPr>
        <w:t xml:space="preserve"> </w:t>
      </w:r>
      <w:r w:rsidR="00AD1881">
        <w:rPr>
          <w:bCs/>
        </w:rPr>
        <w:t xml:space="preserve">or </w:t>
      </w:r>
      <w:r w:rsidR="00106E4F">
        <w:rPr>
          <w:bCs/>
        </w:rPr>
        <w:t>reduction</w:t>
      </w:r>
      <w:r w:rsidR="002E6344">
        <w:rPr>
          <w:bCs/>
        </w:rPr>
        <w:t>.</w:t>
      </w:r>
      <w:r w:rsidR="008C137F" w:rsidRPr="000B45F2">
        <w:rPr>
          <w:bCs/>
        </w:rPr>
        <w:t xml:space="preserve"> </w:t>
      </w:r>
      <w:r w:rsidR="00E85735">
        <w:rPr>
          <w:bCs/>
        </w:rPr>
        <w:t>Perhaps the only predictive power we can</w:t>
      </w:r>
      <w:r w:rsidR="007668C0">
        <w:rPr>
          <w:bCs/>
        </w:rPr>
        <w:t xml:space="preserve"> claim</w:t>
      </w:r>
      <w:r w:rsidR="00E85735">
        <w:rPr>
          <w:bCs/>
        </w:rPr>
        <w:t xml:space="preserve"> </w:t>
      </w:r>
      <w:r w:rsidR="00DC4C6B">
        <w:rPr>
          <w:bCs/>
        </w:rPr>
        <w:t>is limited to our</w:t>
      </w:r>
      <w:r w:rsidR="00E85735">
        <w:rPr>
          <w:bCs/>
        </w:rPr>
        <w:t xml:space="preserve"> </w:t>
      </w:r>
      <w:r w:rsidR="007668C0">
        <w:rPr>
          <w:bCs/>
        </w:rPr>
        <w:t xml:space="preserve">rather messy </w:t>
      </w:r>
      <w:r w:rsidR="00E85735">
        <w:rPr>
          <w:bCs/>
        </w:rPr>
        <w:t xml:space="preserve">basic intuitions about the weights of rights when compared </w:t>
      </w:r>
      <w:r w:rsidR="00DC4C6B">
        <w:rPr>
          <w:bCs/>
        </w:rPr>
        <w:t>to the weights of</w:t>
      </w:r>
      <w:r w:rsidR="00E85735">
        <w:rPr>
          <w:bCs/>
        </w:rPr>
        <w:t xml:space="preserve"> other normative primitives.</w:t>
      </w:r>
    </w:p>
    <w:p w14:paraId="2015861C" w14:textId="358A49D6" w:rsidR="002922CA" w:rsidRPr="000B45F2" w:rsidRDefault="005E1BBF" w:rsidP="00880ACB">
      <w:pPr>
        <w:jc w:val="both"/>
        <w:rPr>
          <w:bCs/>
        </w:rPr>
      </w:pPr>
      <w:r>
        <w:rPr>
          <w:bCs/>
        </w:rPr>
        <w:t>There</w:t>
      </w:r>
      <w:r w:rsidR="00106E4F">
        <w:rPr>
          <w:bCs/>
        </w:rPr>
        <w:t xml:space="preserve"> are </w:t>
      </w:r>
      <w:r w:rsidR="00F800DD">
        <w:rPr>
          <w:bCs/>
        </w:rPr>
        <w:t xml:space="preserve">serious </w:t>
      </w:r>
      <w:r w:rsidR="00106E4F">
        <w:rPr>
          <w:bCs/>
        </w:rPr>
        <w:t xml:space="preserve">costs </w:t>
      </w:r>
      <w:r>
        <w:rPr>
          <w:bCs/>
        </w:rPr>
        <w:t>against</w:t>
      </w:r>
      <w:r w:rsidR="00106E4F">
        <w:rPr>
          <w:bCs/>
        </w:rPr>
        <w:t xml:space="preserve"> doing </w:t>
      </w:r>
      <w:r w:rsidR="00DC4C6B">
        <w:rPr>
          <w:bCs/>
        </w:rPr>
        <w:t>this</w:t>
      </w:r>
      <w:r w:rsidR="00C6758C">
        <w:rPr>
          <w:bCs/>
        </w:rPr>
        <w:t xml:space="preserve"> though</w:t>
      </w:r>
      <w:r w:rsidR="00A46F08">
        <w:rPr>
          <w:bCs/>
        </w:rPr>
        <w:t xml:space="preserve">. </w:t>
      </w:r>
      <w:r w:rsidR="00A46F08">
        <w:t xml:space="preserve">For one, positing rights as normative primitives </w:t>
      </w:r>
      <w:r w:rsidR="00065A19">
        <w:t>could make</w:t>
      </w:r>
      <w:r w:rsidR="00A46F08">
        <w:t xml:space="preserve"> it harder for us to understand how we can argue for or against the existence of certain rights (e.g.</w:t>
      </w:r>
      <w:r w:rsidR="00C6758C">
        <w:t>,</w:t>
      </w:r>
      <w:r w:rsidR="00A46F08">
        <w:t xml:space="preserve"> we can argue for </w:t>
      </w:r>
      <w:r w:rsidR="00AD1881">
        <w:t>or against a</w:t>
      </w:r>
      <w:r w:rsidR="00A46F08">
        <w:t xml:space="preserve"> right to healthcare by appealing to the value of human life</w:t>
      </w:r>
      <w:r w:rsidR="00171CDF">
        <w:t xml:space="preserve"> as its ground</w:t>
      </w:r>
      <w:r w:rsidR="00A46F08">
        <w:t xml:space="preserve">). </w:t>
      </w:r>
      <w:r w:rsidR="00106E4F">
        <w:t>Also</w:t>
      </w:r>
      <w:r w:rsidR="00A46F08">
        <w:t xml:space="preserve">, it is unclear how we can commensurate and make trade-offs between rights </w:t>
      </w:r>
      <w:r w:rsidR="00A05BB0">
        <w:t>especially if we take each right to be its own</w:t>
      </w:r>
      <w:r w:rsidR="00A46F08">
        <w:t xml:space="preserve"> distinct</w:t>
      </w:r>
      <w:r w:rsidR="00A05BB0">
        <w:t xml:space="preserve"> normative</w:t>
      </w:r>
      <w:r w:rsidR="00A46F08">
        <w:t xml:space="preserve"> primitiv</w:t>
      </w:r>
      <w:r w:rsidR="00A05BB0">
        <w:t>e</w:t>
      </w:r>
      <w:r w:rsidR="00A46F08">
        <w:t>. That said,</w:t>
      </w:r>
      <w:r w:rsidR="00A46F08">
        <w:rPr>
          <w:bCs/>
        </w:rPr>
        <w:t xml:space="preserve"> </w:t>
      </w:r>
      <w:r w:rsidR="00C6758C">
        <w:rPr>
          <w:bCs/>
        </w:rPr>
        <w:t>these</w:t>
      </w:r>
      <w:r w:rsidR="00E1725F">
        <w:rPr>
          <w:bCs/>
        </w:rPr>
        <w:t xml:space="preserve"> </w:t>
      </w:r>
      <w:r w:rsidR="00C6758C">
        <w:rPr>
          <w:bCs/>
        </w:rPr>
        <w:t>costs may be acceptable</w:t>
      </w:r>
      <w:r w:rsidR="00E1725F">
        <w:rPr>
          <w:bCs/>
        </w:rPr>
        <w:t xml:space="preserve"> if that is</w:t>
      </w:r>
      <w:r w:rsidR="00BB5653">
        <w:rPr>
          <w:bCs/>
        </w:rPr>
        <w:t xml:space="preserve"> the only way</w:t>
      </w:r>
      <w:r w:rsidR="00A46F08">
        <w:rPr>
          <w:bCs/>
        </w:rPr>
        <w:t xml:space="preserve"> we can thereby </w:t>
      </w:r>
      <w:r w:rsidR="00C6758C">
        <w:rPr>
          <w:bCs/>
        </w:rPr>
        <w:t>reconcile</w:t>
      </w:r>
      <w:r w:rsidR="00A46F08">
        <w:rPr>
          <w:bCs/>
        </w:rPr>
        <w:t xml:space="preserve"> the </w:t>
      </w:r>
      <w:r w:rsidR="0000050E">
        <w:rPr>
          <w:bCs/>
        </w:rPr>
        <w:t xml:space="preserve">weight-ought connection and our </w:t>
      </w:r>
      <w:r w:rsidR="00184CB3">
        <w:rPr>
          <w:bCs/>
        </w:rPr>
        <w:t xml:space="preserve">messy </w:t>
      </w:r>
      <w:r w:rsidR="008C137F" w:rsidRPr="000B45F2">
        <w:rPr>
          <w:bCs/>
        </w:rPr>
        <w:t>common</w:t>
      </w:r>
      <w:r w:rsidR="00D542C6">
        <w:rPr>
          <w:bCs/>
        </w:rPr>
        <w:t xml:space="preserve"> </w:t>
      </w:r>
      <w:r w:rsidR="008C137F" w:rsidRPr="000B45F2">
        <w:rPr>
          <w:bCs/>
        </w:rPr>
        <w:t>sense moral</w:t>
      </w:r>
      <w:r w:rsidR="00694E1D">
        <w:rPr>
          <w:bCs/>
        </w:rPr>
        <w:t xml:space="preserve"> intuitions.</w:t>
      </w:r>
    </w:p>
    <w:p w14:paraId="19B66C37" w14:textId="75F02FF2" w:rsidR="001534E4" w:rsidRPr="00FB2F01" w:rsidRDefault="00127D44" w:rsidP="00880ACB">
      <w:pPr>
        <w:pStyle w:val="Roeber-HeadingA"/>
        <w:jc w:val="both"/>
      </w:pPr>
      <w:r w:rsidRPr="00FB2F01">
        <w:t>Conclusio</w:t>
      </w:r>
      <w:r w:rsidR="0093404A" w:rsidRPr="00FB2F01">
        <w:t>n</w:t>
      </w:r>
    </w:p>
    <w:p w14:paraId="20FC3F86" w14:textId="153F5E4D" w:rsidR="009F0B08" w:rsidRPr="000B45F2" w:rsidRDefault="004D4FB2" w:rsidP="00880ACB">
      <w:pPr>
        <w:jc w:val="both"/>
        <w:rPr>
          <w:bCs/>
        </w:rPr>
      </w:pPr>
      <w:r w:rsidRPr="000B45F2">
        <w:rPr>
          <w:bCs/>
        </w:rPr>
        <w:t xml:space="preserve">We started </w:t>
      </w:r>
      <w:r w:rsidR="009F0B08" w:rsidRPr="000B45F2">
        <w:rPr>
          <w:bCs/>
        </w:rPr>
        <w:t xml:space="preserve">by </w:t>
      </w:r>
      <w:r w:rsidRPr="000B45F2">
        <w:rPr>
          <w:bCs/>
        </w:rPr>
        <w:t xml:space="preserve">considering the conflict between </w:t>
      </w:r>
      <w:r w:rsidR="0033411A" w:rsidRPr="000B45F2">
        <w:rPr>
          <w:bCs/>
        </w:rPr>
        <w:t>the weight-ought connection</w:t>
      </w:r>
      <w:r w:rsidRPr="000B45F2">
        <w:rPr>
          <w:bCs/>
        </w:rPr>
        <w:t xml:space="preserve"> and our </w:t>
      </w:r>
      <w:proofErr w:type="gramStart"/>
      <w:r w:rsidRPr="000B45F2">
        <w:rPr>
          <w:bCs/>
        </w:rPr>
        <w:t>common</w:t>
      </w:r>
      <w:r w:rsidR="00D542C6">
        <w:rPr>
          <w:bCs/>
        </w:rPr>
        <w:t xml:space="preserve"> </w:t>
      </w:r>
      <w:r w:rsidRPr="000B45F2">
        <w:rPr>
          <w:bCs/>
        </w:rPr>
        <w:t>sense</w:t>
      </w:r>
      <w:proofErr w:type="gramEnd"/>
      <w:r w:rsidRPr="000B45F2">
        <w:rPr>
          <w:bCs/>
        </w:rPr>
        <w:t xml:space="preserve"> intuitions about a number of cases.</w:t>
      </w:r>
      <w:r w:rsidR="002C544B" w:rsidRPr="000B45F2">
        <w:rPr>
          <w:bCs/>
        </w:rPr>
        <w:t xml:space="preserve"> </w:t>
      </w:r>
      <w:r w:rsidR="00E001B0" w:rsidRPr="000B45F2">
        <w:rPr>
          <w:bCs/>
        </w:rPr>
        <w:t xml:space="preserve">The main contribution of the </w:t>
      </w:r>
      <w:r w:rsidR="0043612A" w:rsidRPr="000B45F2">
        <w:rPr>
          <w:bCs/>
        </w:rPr>
        <w:t>present</w:t>
      </w:r>
      <w:r w:rsidR="00BC2FDE" w:rsidRPr="000B45F2">
        <w:rPr>
          <w:bCs/>
        </w:rPr>
        <w:t xml:space="preserve"> paper is to </w:t>
      </w:r>
      <w:r w:rsidR="00694E1D">
        <w:rPr>
          <w:bCs/>
        </w:rPr>
        <w:t>examine a</w:t>
      </w:r>
      <w:r w:rsidR="002C544B" w:rsidRPr="000B45F2">
        <w:rPr>
          <w:bCs/>
        </w:rPr>
        <w:t xml:space="preserve"> </w:t>
      </w:r>
      <w:r w:rsidR="00694E1D">
        <w:rPr>
          <w:bCs/>
        </w:rPr>
        <w:t>theoretically neat</w:t>
      </w:r>
      <w:r w:rsidR="00F57C53">
        <w:rPr>
          <w:bCs/>
        </w:rPr>
        <w:t xml:space="preserve"> and independently motivated</w:t>
      </w:r>
      <w:r w:rsidR="002C544B" w:rsidRPr="000B45F2">
        <w:rPr>
          <w:bCs/>
        </w:rPr>
        <w:t xml:space="preserve"> way of </w:t>
      </w:r>
      <w:r w:rsidR="00BC2FDE" w:rsidRPr="000B45F2">
        <w:rPr>
          <w:bCs/>
        </w:rPr>
        <w:t>reconciling these claim</w:t>
      </w:r>
      <w:r w:rsidR="002C544B" w:rsidRPr="000B45F2">
        <w:rPr>
          <w:bCs/>
        </w:rPr>
        <w:t>s</w:t>
      </w:r>
      <w:r w:rsidR="0014550A" w:rsidRPr="000B45F2">
        <w:rPr>
          <w:bCs/>
        </w:rPr>
        <w:t xml:space="preserve"> that is inspired by</w:t>
      </w:r>
      <w:r w:rsidR="00694E1D">
        <w:rPr>
          <w:bCs/>
        </w:rPr>
        <w:t xml:space="preserve"> a simple </w:t>
      </w:r>
      <w:r w:rsidR="0014550A" w:rsidRPr="000B45F2">
        <w:rPr>
          <w:bCs/>
        </w:rPr>
        <w:t>observation: we have limited control over what we ought to do</w:t>
      </w:r>
      <w:r w:rsidR="00BC2FDE" w:rsidRPr="000B45F2">
        <w:rPr>
          <w:bCs/>
        </w:rPr>
        <w:t>. According to</w:t>
      </w:r>
      <w:r w:rsidR="002C544B" w:rsidRPr="000B45F2">
        <w:rPr>
          <w:bCs/>
        </w:rPr>
        <w:t xml:space="preserve"> </w:t>
      </w:r>
      <w:r w:rsidR="0029624D" w:rsidRPr="000B45F2">
        <w:rPr>
          <w:bCs/>
        </w:rPr>
        <w:t xml:space="preserve">the Deontic </w:t>
      </w:r>
      <w:r w:rsidR="0029624D" w:rsidRPr="000B45F2">
        <w:rPr>
          <w:bCs/>
        </w:rPr>
        <w:lastRenderedPageBreak/>
        <w:t>Weight Strategy</w:t>
      </w:r>
      <w:r w:rsidR="00BC2FDE" w:rsidRPr="000B45F2">
        <w:rPr>
          <w:bCs/>
        </w:rPr>
        <w:t xml:space="preserve">, we can account for permissions and restrictions in terms of an agent’s ability to </w:t>
      </w:r>
      <w:r w:rsidR="007C3AA5">
        <w:rPr>
          <w:bCs/>
        </w:rPr>
        <w:t>shift</w:t>
      </w:r>
      <w:r w:rsidR="00BC2FDE" w:rsidRPr="000B45F2">
        <w:rPr>
          <w:bCs/>
        </w:rPr>
        <w:t xml:space="preserve"> deontic weight in support of different actions.</w:t>
      </w:r>
    </w:p>
    <w:p w14:paraId="41DDA4A7" w14:textId="6AD47399" w:rsidR="00F17F2B" w:rsidRPr="000B45F2" w:rsidRDefault="009630BC" w:rsidP="00880ACB">
      <w:pPr>
        <w:jc w:val="both"/>
        <w:rPr>
          <w:bCs/>
        </w:rPr>
      </w:pPr>
      <w:r>
        <w:rPr>
          <w:bCs/>
        </w:rPr>
        <w:t xml:space="preserve">Though I </w:t>
      </w:r>
      <w:r w:rsidR="002609C3">
        <w:rPr>
          <w:bCs/>
        </w:rPr>
        <w:t xml:space="preserve">have tried to show </w:t>
      </w:r>
      <w:r>
        <w:rPr>
          <w:bCs/>
        </w:rPr>
        <w:t>why this strategy is attractive</w:t>
      </w:r>
      <w:r w:rsidR="002609C3">
        <w:rPr>
          <w:bCs/>
        </w:rPr>
        <w:t>,</w:t>
      </w:r>
      <w:r>
        <w:rPr>
          <w:bCs/>
        </w:rPr>
        <w:t xml:space="preserve"> </w:t>
      </w:r>
      <w:r w:rsidR="00652209">
        <w:rPr>
          <w:bCs/>
        </w:rPr>
        <w:t xml:space="preserve">I </w:t>
      </w:r>
      <w:r>
        <w:rPr>
          <w:bCs/>
        </w:rPr>
        <w:t>am ultimately pessimistic about its prospects.</w:t>
      </w:r>
      <w:r w:rsidR="002350FC" w:rsidRPr="000B45F2">
        <w:rPr>
          <w:bCs/>
        </w:rPr>
        <w:t xml:space="preserve"> We should grant that </w:t>
      </w:r>
      <w:r w:rsidR="00C6521B">
        <w:rPr>
          <w:bCs/>
        </w:rPr>
        <w:t>we</w:t>
      </w:r>
      <w:r w:rsidR="002F4488" w:rsidRPr="000B45F2">
        <w:rPr>
          <w:bCs/>
        </w:rPr>
        <w:t xml:space="preserve"> can and</w:t>
      </w:r>
      <w:r w:rsidR="002350FC" w:rsidRPr="000B45F2">
        <w:rPr>
          <w:bCs/>
        </w:rPr>
        <w:t xml:space="preserve"> do play an active role in determining what </w:t>
      </w:r>
      <w:r w:rsidR="00C6521B">
        <w:rPr>
          <w:bCs/>
        </w:rPr>
        <w:t>we</w:t>
      </w:r>
      <w:r w:rsidR="002350FC" w:rsidRPr="000B45F2">
        <w:rPr>
          <w:bCs/>
        </w:rPr>
        <w:t xml:space="preserve"> ought to do by directly influencing the deontic weight that supports actions in a choice context. Yet, </w:t>
      </w:r>
      <w:r w:rsidR="00DB17ED" w:rsidRPr="000B45F2">
        <w:rPr>
          <w:bCs/>
        </w:rPr>
        <w:t>I have argued that all of the plausible ways in which we can generate</w:t>
      </w:r>
      <w:r w:rsidR="002350FC" w:rsidRPr="000B45F2">
        <w:rPr>
          <w:bCs/>
        </w:rPr>
        <w:t xml:space="preserve">, </w:t>
      </w:r>
      <w:r w:rsidR="00DB17ED" w:rsidRPr="000B45F2">
        <w:rPr>
          <w:bCs/>
        </w:rPr>
        <w:t>assert</w:t>
      </w:r>
      <w:r w:rsidR="002350FC" w:rsidRPr="000B45F2">
        <w:rPr>
          <w:bCs/>
        </w:rPr>
        <w:t>, or waive</w:t>
      </w:r>
      <w:r w:rsidR="00DB17ED" w:rsidRPr="000B45F2">
        <w:rPr>
          <w:bCs/>
        </w:rPr>
        <w:t xml:space="preserve"> deontic weight</w:t>
      </w:r>
      <w:r w:rsidR="00766382">
        <w:rPr>
          <w:bCs/>
        </w:rPr>
        <w:t xml:space="preserve"> are either not sufficiently predictive or</w:t>
      </w:r>
      <w:r w:rsidR="00DB17ED" w:rsidRPr="000B45F2">
        <w:rPr>
          <w:bCs/>
        </w:rPr>
        <w:t xml:space="preserve"> </w:t>
      </w:r>
      <w:r w:rsidR="002350FC" w:rsidRPr="000B45F2">
        <w:rPr>
          <w:bCs/>
        </w:rPr>
        <w:t>fail to provide a unified</w:t>
      </w:r>
      <w:r w:rsidR="00DB17ED" w:rsidRPr="000B45F2">
        <w:rPr>
          <w:bCs/>
        </w:rPr>
        <w:t xml:space="preserve"> accoun</w:t>
      </w:r>
      <w:r w:rsidR="002350FC" w:rsidRPr="000B45F2">
        <w:rPr>
          <w:bCs/>
        </w:rPr>
        <w:t>t of our common</w:t>
      </w:r>
      <w:r w:rsidR="005407A1">
        <w:rPr>
          <w:bCs/>
        </w:rPr>
        <w:t xml:space="preserve"> </w:t>
      </w:r>
      <w:r w:rsidR="002350FC" w:rsidRPr="000B45F2">
        <w:rPr>
          <w:bCs/>
        </w:rPr>
        <w:t>sense moral intuitions</w:t>
      </w:r>
      <w:r w:rsidR="00DB17ED" w:rsidRPr="000B45F2">
        <w:rPr>
          <w:bCs/>
        </w:rPr>
        <w:t xml:space="preserve">. </w:t>
      </w:r>
      <w:r w:rsidR="004F1E3F" w:rsidRPr="000B45F2">
        <w:rPr>
          <w:bCs/>
        </w:rPr>
        <w:t>This result suggests t</w:t>
      </w:r>
      <w:r w:rsidR="001D1392" w:rsidRPr="000B45F2">
        <w:rPr>
          <w:bCs/>
        </w:rPr>
        <w:t>hree</w:t>
      </w:r>
      <w:r w:rsidR="004F1E3F" w:rsidRPr="000B45F2">
        <w:rPr>
          <w:bCs/>
        </w:rPr>
        <w:t xml:space="preserve"> different </w:t>
      </w:r>
      <w:r w:rsidR="00DD72E3">
        <w:rPr>
          <w:bCs/>
        </w:rPr>
        <w:t>upshots</w:t>
      </w:r>
      <w:r w:rsidR="004F1E3F" w:rsidRPr="000B45F2">
        <w:rPr>
          <w:bCs/>
        </w:rPr>
        <w:t xml:space="preserve"> for the reader – </w:t>
      </w:r>
      <w:r w:rsidR="009364D3" w:rsidRPr="000B45F2">
        <w:rPr>
          <w:bCs/>
        </w:rPr>
        <w:t xml:space="preserve">all of </w:t>
      </w:r>
      <w:r w:rsidR="004F1E3F" w:rsidRPr="000B45F2">
        <w:rPr>
          <w:bCs/>
        </w:rPr>
        <w:t>which are philosophically substantive and worth</w:t>
      </w:r>
      <w:r w:rsidR="00E86F43" w:rsidRPr="000B45F2">
        <w:rPr>
          <w:bCs/>
        </w:rPr>
        <w:t xml:space="preserve"> further </w:t>
      </w:r>
      <w:r w:rsidR="00766719" w:rsidRPr="000B45F2">
        <w:rPr>
          <w:bCs/>
        </w:rPr>
        <w:t>development</w:t>
      </w:r>
      <w:r w:rsidR="004F1E3F" w:rsidRPr="000B45F2">
        <w:rPr>
          <w:bCs/>
        </w:rPr>
        <w:t xml:space="preserve">. </w:t>
      </w:r>
    </w:p>
    <w:p w14:paraId="5AEE86AC" w14:textId="4BD37F01" w:rsidR="00686F63" w:rsidRPr="000B45F2" w:rsidRDefault="00686F63" w:rsidP="00880ACB">
      <w:pPr>
        <w:jc w:val="both"/>
        <w:rPr>
          <w:bCs/>
        </w:rPr>
      </w:pPr>
      <w:r w:rsidRPr="000B45F2">
        <w:rPr>
          <w:bCs/>
        </w:rPr>
        <w:t xml:space="preserve">First, </w:t>
      </w:r>
      <w:r w:rsidR="004C6665" w:rsidRPr="000B45F2">
        <w:rPr>
          <w:bCs/>
        </w:rPr>
        <w:t xml:space="preserve">we </w:t>
      </w:r>
      <w:r w:rsidR="00F17F2B" w:rsidRPr="000B45F2">
        <w:rPr>
          <w:bCs/>
        </w:rPr>
        <w:t xml:space="preserve">could accept that there is no unified ground for our ability to </w:t>
      </w:r>
      <w:r w:rsidR="007C3AA5">
        <w:rPr>
          <w:bCs/>
        </w:rPr>
        <w:t>alter</w:t>
      </w:r>
      <w:r w:rsidR="00F17F2B" w:rsidRPr="000B45F2">
        <w:rPr>
          <w:bCs/>
        </w:rPr>
        <w:t xml:space="preserve"> deontic weight </w:t>
      </w:r>
      <w:r w:rsidRPr="000B45F2">
        <w:rPr>
          <w:bCs/>
        </w:rPr>
        <w:t>that would accommodate all of our cases. The alternative is to look elsewhere for a unified ground</w:t>
      </w:r>
      <w:r w:rsidR="00BC1E4E" w:rsidRPr="000B45F2">
        <w:rPr>
          <w:bCs/>
        </w:rPr>
        <w:t xml:space="preserve"> that </w:t>
      </w:r>
      <w:r w:rsidR="00E00E5D">
        <w:rPr>
          <w:bCs/>
        </w:rPr>
        <w:t>does do so</w:t>
      </w:r>
      <w:r w:rsidRPr="000B45F2">
        <w:rPr>
          <w:bCs/>
        </w:rPr>
        <w:t xml:space="preserve">. </w:t>
      </w:r>
      <w:r w:rsidR="00403C99">
        <w:rPr>
          <w:bCs/>
        </w:rPr>
        <w:t>I suspect the</w:t>
      </w:r>
      <w:r w:rsidRPr="000B45F2">
        <w:rPr>
          <w:bCs/>
        </w:rPr>
        <w:t xml:space="preserve"> rights-based approach comes closest.</w:t>
      </w:r>
      <w:r w:rsidR="00FB4B2D" w:rsidRPr="000B45F2">
        <w:rPr>
          <w:bCs/>
        </w:rPr>
        <w:t xml:space="preserve"> However, I have pointed out that </w:t>
      </w:r>
      <w:r w:rsidR="00077A22">
        <w:rPr>
          <w:bCs/>
        </w:rPr>
        <w:t xml:space="preserve">this approach </w:t>
      </w:r>
      <w:r w:rsidR="00403C99">
        <w:rPr>
          <w:bCs/>
        </w:rPr>
        <w:t>faces</w:t>
      </w:r>
      <w:r w:rsidR="00077A22">
        <w:rPr>
          <w:bCs/>
        </w:rPr>
        <w:t xml:space="preserve"> serious</w:t>
      </w:r>
      <w:r w:rsidR="00FB4B2D" w:rsidRPr="000B45F2">
        <w:rPr>
          <w:bCs/>
        </w:rPr>
        <w:t xml:space="preserve"> issues. In particular, prospects for an</w:t>
      </w:r>
      <w:r w:rsidR="005E666C" w:rsidRPr="000B45F2">
        <w:rPr>
          <w:bCs/>
        </w:rPr>
        <w:t xml:space="preserve"> independently motivated account of the deontic weight of rights</w:t>
      </w:r>
      <w:r w:rsidR="00FB4B2D" w:rsidRPr="000B45F2">
        <w:rPr>
          <w:bCs/>
        </w:rPr>
        <w:t xml:space="preserve"> </w:t>
      </w:r>
      <w:r w:rsidR="006510BF">
        <w:rPr>
          <w:bCs/>
        </w:rPr>
        <w:t xml:space="preserve">look </w:t>
      </w:r>
      <w:r w:rsidR="00FB4B2D" w:rsidRPr="000B45F2">
        <w:rPr>
          <w:bCs/>
        </w:rPr>
        <w:t>grim</w:t>
      </w:r>
      <w:r w:rsidR="00403C99">
        <w:rPr>
          <w:bCs/>
        </w:rPr>
        <w:t>. However,</w:t>
      </w:r>
      <w:r w:rsidR="0022643D">
        <w:rPr>
          <w:bCs/>
        </w:rPr>
        <w:t xml:space="preserve"> </w:t>
      </w:r>
      <w:r w:rsidR="00EE4E01">
        <w:rPr>
          <w:bCs/>
        </w:rPr>
        <w:t>some philosophers may</w:t>
      </w:r>
      <w:r w:rsidR="006510BF">
        <w:rPr>
          <w:bCs/>
        </w:rPr>
        <w:t xml:space="preserve"> </w:t>
      </w:r>
      <w:r w:rsidR="00EE4E01">
        <w:rPr>
          <w:bCs/>
        </w:rPr>
        <w:t>consider the</w:t>
      </w:r>
      <w:r w:rsidR="006510BF">
        <w:rPr>
          <w:bCs/>
        </w:rPr>
        <w:t xml:space="preserve"> cost </w:t>
      </w:r>
      <w:r w:rsidR="00EE4E01">
        <w:rPr>
          <w:bCs/>
        </w:rPr>
        <w:t xml:space="preserve">of </w:t>
      </w:r>
      <w:r w:rsidR="00671041">
        <w:rPr>
          <w:bCs/>
        </w:rPr>
        <w:t xml:space="preserve">forgoing such a theory </w:t>
      </w:r>
      <w:r w:rsidR="000E3EF7">
        <w:rPr>
          <w:bCs/>
        </w:rPr>
        <w:t xml:space="preserve">and its predictive advantages </w:t>
      </w:r>
      <w:r w:rsidR="00060E10">
        <w:rPr>
          <w:bCs/>
        </w:rPr>
        <w:t>as</w:t>
      </w:r>
      <w:r w:rsidR="00077A22">
        <w:rPr>
          <w:bCs/>
        </w:rPr>
        <w:t xml:space="preserve"> </w:t>
      </w:r>
      <w:r w:rsidR="00403C99">
        <w:rPr>
          <w:bCs/>
        </w:rPr>
        <w:t xml:space="preserve">a price </w:t>
      </w:r>
      <w:r w:rsidR="00EE4E01">
        <w:rPr>
          <w:bCs/>
        </w:rPr>
        <w:t>worth paying.</w:t>
      </w:r>
    </w:p>
    <w:p w14:paraId="6F974144" w14:textId="7363B708" w:rsidR="001D1392" w:rsidRPr="000B45F2" w:rsidRDefault="001D1392" w:rsidP="00880ACB">
      <w:pPr>
        <w:jc w:val="both"/>
        <w:rPr>
          <w:bCs/>
        </w:rPr>
      </w:pPr>
      <w:r w:rsidRPr="000B45F2">
        <w:rPr>
          <w:bCs/>
        </w:rPr>
        <w:t xml:space="preserve">Second, </w:t>
      </w:r>
      <w:r w:rsidR="004C6665" w:rsidRPr="000B45F2">
        <w:rPr>
          <w:bCs/>
        </w:rPr>
        <w:t>t</w:t>
      </w:r>
      <w:r w:rsidRPr="000B45F2">
        <w:rPr>
          <w:bCs/>
        </w:rPr>
        <w:t>hough I have reservations about appealing to non-deontic</w:t>
      </w:r>
      <w:r w:rsidR="003363A6" w:rsidRPr="000B45F2">
        <w:rPr>
          <w:bCs/>
        </w:rPr>
        <w:t xml:space="preserve"> </w:t>
      </w:r>
      <w:r w:rsidRPr="000B45F2">
        <w:rPr>
          <w:bCs/>
        </w:rPr>
        <w:t xml:space="preserve">commendatory reasons as well as the justifying/requiring strength of reasons distinction, </w:t>
      </w:r>
      <w:r w:rsidR="004C6665" w:rsidRPr="000B45F2">
        <w:rPr>
          <w:bCs/>
        </w:rPr>
        <w:t>one upshot of this</w:t>
      </w:r>
      <w:r w:rsidRPr="000B45F2">
        <w:rPr>
          <w:bCs/>
        </w:rPr>
        <w:t xml:space="preserve"> paper is that philosophers who</w:t>
      </w:r>
      <w:r w:rsidR="004C6665" w:rsidRPr="000B45F2">
        <w:rPr>
          <w:bCs/>
        </w:rPr>
        <w:t xml:space="preserve"> accept </w:t>
      </w:r>
      <w:r w:rsidR="0033411A" w:rsidRPr="000B45F2">
        <w:rPr>
          <w:bCs/>
        </w:rPr>
        <w:t>the weight-ought connection</w:t>
      </w:r>
      <w:r w:rsidRPr="000B45F2">
        <w:rPr>
          <w:bCs/>
        </w:rPr>
        <w:t xml:space="preserve"> </w:t>
      </w:r>
      <w:r w:rsidR="004C6665" w:rsidRPr="000B45F2">
        <w:rPr>
          <w:bCs/>
        </w:rPr>
        <w:t>as well as common</w:t>
      </w:r>
      <w:r w:rsidR="005407A1">
        <w:rPr>
          <w:bCs/>
        </w:rPr>
        <w:t xml:space="preserve"> </w:t>
      </w:r>
      <w:r w:rsidR="004C6665" w:rsidRPr="000B45F2">
        <w:rPr>
          <w:bCs/>
        </w:rPr>
        <w:t xml:space="preserve">sense morality </w:t>
      </w:r>
      <w:r w:rsidR="001F14CD">
        <w:rPr>
          <w:bCs/>
        </w:rPr>
        <w:t xml:space="preserve">may have to embrace these </w:t>
      </w:r>
      <w:r w:rsidR="00403C99">
        <w:rPr>
          <w:bCs/>
        </w:rPr>
        <w:t>complications</w:t>
      </w:r>
      <w:r w:rsidR="00EE7237">
        <w:rPr>
          <w:bCs/>
        </w:rPr>
        <w:t xml:space="preserve"> </w:t>
      </w:r>
      <w:r w:rsidR="001F14CD">
        <w:rPr>
          <w:bCs/>
        </w:rPr>
        <w:t>if they previously rejected them</w:t>
      </w:r>
      <w:r w:rsidRPr="000B45F2">
        <w:rPr>
          <w:bCs/>
        </w:rPr>
        <w:t>.</w:t>
      </w:r>
      <w:r w:rsidR="004C6665" w:rsidRPr="000B45F2">
        <w:rPr>
          <w:bCs/>
        </w:rPr>
        <w:t xml:space="preserve"> </w:t>
      </w:r>
      <w:r w:rsidR="00E8300A" w:rsidRPr="000B45F2">
        <w:rPr>
          <w:bCs/>
        </w:rPr>
        <w:t>Note that</w:t>
      </w:r>
      <w:r w:rsidR="004C6665" w:rsidRPr="000B45F2">
        <w:rPr>
          <w:bCs/>
        </w:rPr>
        <w:t xml:space="preserve"> even though the above discussion was focused on</w:t>
      </w:r>
      <w:r w:rsidR="00F82B18">
        <w:rPr>
          <w:bCs/>
        </w:rPr>
        <w:t xml:space="preserve"> our</w:t>
      </w:r>
      <w:r w:rsidR="004C6665" w:rsidRPr="000B45F2">
        <w:rPr>
          <w:bCs/>
        </w:rPr>
        <w:t xml:space="preserve"> deontic weight </w:t>
      </w:r>
      <w:r w:rsidR="007C3AA5">
        <w:rPr>
          <w:bCs/>
        </w:rPr>
        <w:t>alter</w:t>
      </w:r>
      <w:r w:rsidR="004C6665" w:rsidRPr="000B45F2">
        <w:rPr>
          <w:bCs/>
        </w:rPr>
        <w:t xml:space="preserve">ing </w:t>
      </w:r>
      <w:r w:rsidR="0029702F" w:rsidRPr="000B45F2">
        <w:rPr>
          <w:bCs/>
        </w:rPr>
        <w:t>abilities</w:t>
      </w:r>
      <w:r w:rsidR="004C6665" w:rsidRPr="000B45F2">
        <w:rPr>
          <w:bCs/>
        </w:rPr>
        <w:t>, it is possible that these</w:t>
      </w:r>
      <w:r w:rsidR="0029702F" w:rsidRPr="000B45F2">
        <w:rPr>
          <w:bCs/>
        </w:rPr>
        <w:t xml:space="preserve"> abilities</w:t>
      </w:r>
      <w:r w:rsidR="004C6665" w:rsidRPr="000B45F2">
        <w:rPr>
          <w:bCs/>
        </w:rPr>
        <w:t xml:space="preserve"> </w:t>
      </w:r>
      <w:r w:rsidR="00EE7237">
        <w:rPr>
          <w:bCs/>
        </w:rPr>
        <w:t xml:space="preserve">are what accounts for these </w:t>
      </w:r>
      <w:r w:rsidR="00403C99">
        <w:rPr>
          <w:bCs/>
        </w:rPr>
        <w:t>complications</w:t>
      </w:r>
      <w:r w:rsidR="00EE7237">
        <w:rPr>
          <w:bCs/>
        </w:rPr>
        <w:t xml:space="preserve"> </w:t>
      </w:r>
      <w:r w:rsidR="004C6665" w:rsidRPr="000B45F2">
        <w:rPr>
          <w:bCs/>
        </w:rPr>
        <w:t>in the first place.</w:t>
      </w:r>
      <w:r w:rsidR="00581D8F">
        <w:rPr>
          <w:bCs/>
        </w:rPr>
        <w:t xml:space="preserve"> If the fates of these views are intimately linked</w:t>
      </w:r>
      <w:r w:rsidR="006E73AD">
        <w:rPr>
          <w:bCs/>
        </w:rPr>
        <w:t>, that would be a substantive discovery in its own right.</w:t>
      </w:r>
    </w:p>
    <w:p w14:paraId="688BABE4" w14:textId="3B427B5F" w:rsidR="001468D3" w:rsidRPr="000B45F2" w:rsidRDefault="001D1392" w:rsidP="00880ACB">
      <w:pPr>
        <w:jc w:val="both"/>
        <w:rPr>
          <w:bCs/>
        </w:rPr>
      </w:pPr>
      <w:r w:rsidRPr="000B45F2">
        <w:rPr>
          <w:bCs/>
        </w:rPr>
        <w:t>Third</w:t>
      </w:r>
      <w:r w:rsidR="008F1A60" w:rsidRPr="000B45F2">
        <w:rPr>
          <w:bCs/>
        </w:rPr>
        <w:t xml:space="preserve">, </w:t>
      </w:r>
      <w:r w:rsidR="00FE572C" w:rsidRPr="000B45F2">
        <w:rPr>
          <w:bCs/>
        </w:rPr>
        <w:t>consider a</w:t>
      </w:r>
      <w:r w:rsidR="004C6665" w:rsidRPr="000B45F2">
        <w:rPr>
          <w:bCs/>
        </w:rPr>
        <w:t xml:space="preserve"> more radical conclusion</w:t>
      </w:r>
      <w:r w:rsidR="002C4C8F">
        <w:rPr>
          <w:bCs/>
        </w:rPr>
        <w:t xml:space="preserve"> (</w:t>
      </w:r>
      <w:r w:rsidR="00FE572C" w:rsidRPr="000B45F2">
        <w:rPr>
          <w:bCs/>
        </w:rPr>
        <w:t xml:space="preserve">one that I </w:t>
      </w:r>
      <w:r w:rsidR="006227C0">
        <w:rPr>
          <w:bCs/>
        </w:rPr>
        <w:t>have sympathy towards</w:t>
      </w:r>
      <w:r w:rsidR="002C4C8F">
        <w:rPr>
          <w:bCs/>
        </w:rPr>
        <w:t>)</w:t>
      </w:r>
      <w:r w:rsidR="008F1A60" w:rsidRPr="000B45F2">
        <w:rPr>
          <w:bCs/>
        </w:rPr>
        <w:t xml:space="preserve">. If we think that the </w:t>
      </w:r>
      <w:r w:rsidR="00C07A02" w:rsidRPr="000B45F2">
        <w:rPr>
          <w:bCs/>
        </w:rPr>
        <w:t xml:space="preserve">most promising way </w:t>
      </w:r>
      <w:r w:rsidR="001F6DB2">
        <w:rPr>
          <w:bCs/>
        </w:rPr>
        <w:t>to reconcile</w:t>
      </w:r>
      <w:r w:rsidR="008F1A60" w:rsidRPr="000B45F2">
        <w:rPr>
          <w:bCs/>
        </w:rPr>
        <w:t xml:space="preserve"> </w:t>
      </w:r>
      <w:r w:rsidR="0033411A" w:rsidRPr="000B45F2">
        <w:rPr>
          <w:bCs/>
        </w:rPr>
        <w:t>the weight-ought connection</w:t>
      </w:r>
      <w:r w:rsidR="008F1A60" w:rsidRPr="000B45F2">
        <w:rPr>
          <w:bCs/>
        </w:rPr>
        <w:t xml:space="preserve"> and common</w:t>
      </w:r>
      <w:r w:rsidR="005407A1">
        <w:rPr>
          <w:bCs/>
        </w:rPr>
        <w:t xml:space="preserve"> </w:t>
      </w:r>
      <w:r w:rsidR="008F1A60" w:rsidRPr="000B45F2">
        <w:rPr>
          <w:bCs/>
        </w:rPr>
        <w:t xml:space="preserve">sense morality is to develop some version of </w:t>
      </w:r>
      <w:r w:rsidR="007B4575">
        <w:rPr>
          <w:bCs/>
        </w:rPr>
        <w:t>the Deontic Weight Strategy</w:t>
      </w:r>
      <w:r w:rsidR="00C07A02" w:rsidRPr="000B45F2">
        <w:rPr>
          <w:bCs/>
        </w:rPr>
        <w:t xml:space="preserve"> but </w:t>
      </w:r>
      <w:r w:rsidR="006E73AD">
        <w:rPr>
          <w:bCs/>
        </w:rPr>
        <w:t>ultimately reject the view</w:t>
      </w:r>
      <w:r w:rsidR="00C07A02" w:rsidRPr="000B45F2">
        <w:rPr>
          <w:bCs/>
        </w:rPr>
        <w:t xml:space="preserve">, then we are faced with a </w:t>
      </w:r>
      <w:r w:rsidR="00706F97">
        <w:rPr>
          <w:bCs/>
        </w:rPr>
        <w:t xml:space="preserve">stark </w:t>
      </w:r>
      <w:r w:rsidR="00C07A02" w:rsidRPr="000B45F2">
        <w:rPr>
          <w:bCs/>
        </w:rPr>
        <w:t xml:space="preserve">choice. We have to reject either </w:t>
      </w:r>
      <w:r w:rsidR="0033411A" w:rsidRPr="000B45F2">
        <w:rPr>
          <w:bCs/>
        </w:rPr>
        <w:t>the weight-ought connection</w:t>
      </w:r>
      <w:r w:rsidR="00C07A02" w:rsidRPr="000B45F2">
        <w:rPr>
          <w:bCs/>
        </w:rPr>
        <w:t xml:space="preserve"> or common</w:t>
      </w:r>
      <w:r w:rsidR="005407A1">
        <w:rPr>
          <w:bCs/>
        </w:rPr>
        <w:t xml:space="preserve"> </w:t>
      </w:r>
      <w:r w:rsidR="00C07A02" w:rsidRPr="000B45F2">
        <w:rPr>
          <w:bCs/>
        </w:rPr>
        <w:t xml:space="preserve">sense morality. </w:t>
      </w:r>
      <w:r w:rsidR="00E551AB" w:rsidRPr="000B45F2">
        <w:rPr>
          <w:bCs/>
        </w:rPr>
        <w:t xml:space="preserve">As </w:t>
      </w:r>
      <w:r w:rsidR="00BC1E4E" w:rsidRPr="000B45F2">
        <w:rPr>
          <w:bCs/>
        </w:rPr>
        <w:t>for the first option</w:t>
      </w:r>
      <w:r w:rsidR="00E551AB" w:rsidRPr="000B45F2">
        <w:rPr>
          <w:bCs/>
        </w:rPr>
        <w:t xml:space="preserve">, though </w:t>
      </w:r>
      <w:r w:rsidR="0033411A" w:rsidRPr="000B45F2">
        <w:rPr>
          <w:bCs/>
        </w:rPr>
        <w:t>the weight-ought connection</w:t>
      </w:r>
      <w:r w:rsidR="00E551AB" w:rsidRPr="000B45F2">
        <w:rPr>
          <w:bCs/>
        </w:rPr>
        <w:t xml:space="preserve"> is a common assumption in contemporary normative theory about how</w:t>
      </w:r>
      <w:r w:rsidR="00601AB7">
        <w:rPr>
          <w:bCs/>
        </w:rPr>
        <w:t xml:space="preserve"> oughts or</w:t>
      </w:r>
      <w:r w:rsidR="00E551AB" w:rsidRPr="000B45F2">
        <w:rPr>
          <w:bCs/>
        </w:rPr>
        <w:t xml:space="preserve"> obligation</w:t>
      </w:r>
      <w:r w:rsidR="00601AB7">
        <w:rPr>
          <w:bCs/>
        </w:rPr>
        <w:t>s</w:t>
      </w:r>
      <w:r w:rsidR="00E551AB" w:rsidRPr="000B45F2">
        <w:rPr>
          <w:bCs/>
        </w:rPr>
        <w:t xml:space="preserve"> work, the history of</w:t>
      </w:r>
      <w:r w:rsidR="0098738E">
        <w:rPr>
          <w:bCs/>
        </w:rPr>
        <w:t xml:space="preserve"> fairly recent</w:t>
      </w:r>
      <w:r w:rsidR="0053613E">
        <w:rPr>
          <w:bCs/>
        </w:rPr>
        <w:t xml:space="preserve"> Western</w:t>
      </w:r>
      <w:r w:rsidR="00DC225F" w:rsidRPr="000B45F2">
        <w:rPr>
          <w:bCs/>
        </w:rPr>
        <w:t xml:space="preserve"> moral</w:t>
      </w:r>
      <w:r w:rsidR="00E551AB" w:rsidRPr="000B45F2">
        <w:rPr>
          <w:bCs/>
        </w:rPr>
        <w:t xml:space="preserve"> philosophy has provided us with alternatives that </w:t>
      </w:r>
      <w:r w:rsidR="00DC225F" w:rsidRPr="000B45F2">
        <w:rPr>
          <w:bCs/>
        </w:rPr>
        <w:t>may deserve</w:t>
      </w:r>
      <w:r w:rsidR="00CF785D" w:rsidRPr="000B45F2">
        <w:rPr>
          <w:bCs/>
        </w:rPr>
        <w:t xml:space="preserve"> </w:t>
      </w:r>
      <w:r w:rsidR="00DC225F" w:rsidRPr="000B45F2">
        <w:rPr>
          <w:bCs/>
        </w:rPr>
        <w:t>further attention</w:t>
      </w:r>
      <w:r w:rsidR="0053613E">
        <w:rPr>
          <w:bCs/>
        </w:rPr>
        <w:t xml:space="preserve"> not to mention </w:t>
      </w:r>
      <w:r w:rsidR="0098738E">
        <w:rPr>
          <w:bCs/>
        </w:rPr>
        <w:t xml:space="preserve">much </w:t>
      </w:r>
      <w:r w:rsidR="0098738E">
        <w:rPr>
          <w:bCs/>
        </w:rPr>
        <w:lastRenderedPageBreak/>
        <w:t xml:space="preserve">older </w:t>
      </w:r>
      <w:r w:rsidR="0053613E">
        <w:rPr>
          <w:bCs/>
        </w:rPr>
        <w:t>traditions</w:t>
      </w:r>
      <w:r w:rsidR="0098738E">
        <w:rPr>
          <w:bCs/>
        </w:rPr>
        <w:t xml:space="preserve"> Eastern and Western traditions</w:t>
      </w:r>
      <w:r w:rsidR="007B761A" w:rsidRPr="000B45F2">
        <w:rPr>
          <w:bCs/>
        </w:rPr>
        <w:t>.</w:t>
      </w:r>
      <w:r w:rsidR="00FB4B2D" w:rsidRPr="000B45F2">
        <w:rPr>
          <w:rStyle w:val="FootnoteReference"/>
          <w:bCs/>
        </w:rPr>
        <w:footnoteReference w:id="36"/>
      </w:r>
      <w:r w:rsidR="00FB4B2D" w:rsidRPr="000B45F2">
        <w:rPr>
          <w:bCs/>
        </w:rPr>
        <w:t xml:space="preserve"> For example, perhaps Prichard (1912)</w:t>
      </w:r>
      <w:r w:rsidR="00065B1D">
        <w:rPr>
          <w:bCs/>
        </w:rPr>
        <w:t xml:space="preserve"> is</w:t>
      </w:r>
      <w:r w:rsidR="00FB4B2D" w:rsidRPr="000B45F2">
        <w:rPr>
          <w:bCs/>
        </w:rPr>
        <w:t xml:space="preserve"> </w:t>
      </w:r>
      <w:r w:rsidR="008429BA">
        <w:rPr>
          <w:bCs/>
        </w:rPr>
        <w:t>right</w:t>
      </w:r>
      <w:r w:rsidR="006227C0">
        <w:rPr>
          <w:bCs/>
        </w:rPr>
        <w:t xml:space="preserve"> that</w:t>
      </w:r>
      <w:r w:rsidR="008429BA">
        <w:rPr>
          <w:bCs/>
        </w:rPr>
        <w:t xml:space="preserve"> </w:t>
      </w:r>
      <w:r w:rsidR="00FB4B2D" w:rsidRPr="000B45F2">
        <w:rPr>
          <w:bCs/>
        </w:rPr>
        <w:t>moral obligation</w:t>
      </w:r>
      <w:r w:rsidR="0059003C">
        <w:rPr>
          <w:bCs/>
        </w:rPr>
        <w:t>s</w:t>
      </w:r>
      <w:r w:rsidR="008429BA">
        <w:rPr>
          <w:bCs/>
        </w:rPr>
        <w:t xml:space="preserve"> </w:t>
      </w:r>
      <w:r w:rsidR="006E73AD">
        <w:rPr>
          <w:bCs/>
        </w:rPr>
        <w:t>are ultimately intuited and cannot be further</w:t>
      </w:r>
      <w:r w:rsidR="008429BA">
        <w:rPr>
          <w:bCs/>
        </w:rPr>
        <w:t xml:space="preserve"> defined</w:t>
      </w:r>
      <w:r w:rsidR="00FB4B2D" w:rsidRPr="000B45F2">
        <w:rPr>
          <w:bCs/>
        </w:rPr>
        <w:t xml:space="preserve"> </w:t>
      </w:r>
      <w:r w:rsidR="008429BA">
        <w:rPr>
          <w:bCs/>
        </w:rPr>
        <w:t xml:space="preserve">or </w:t>
      </w:r>
      <w:r w:rsidR="006E73AD">
        <w:rPr>
          <w:bCs/>
        </w:rPr>
        <w:t>analyzed in</w:t>
      </w:r>
      <w:r w:rsidR="00065B1D">
        <w:rPr>
          <w:bCs/>
        </w:rPr>
        <w:t xml:space="preserve"> other</w:t>
      </w:r>
      <w:r w:rsidR="00FB4B2D" w:rsidRPr="000B45F2">
        <w:rPr>
          <w:bCs/>
        </w:rPr>
        <w:t xml:space="preserve"> terms</w:t>
      </w:r>
      <w:r w:rsidR="002727AF" w:rsidRPr="000B45F2">
        <w:rPr>
          <w:bCs/>
        </w:rPr>
        <w:t xml:space="preserve"> </w:t>
      </w:r>
      <w:r w:rsidR="002727AF" w:rsidRPr="000B45F2">
        <w:rPr>
          <w:bCs/>
          <w:i/>
          <w:iCs/>
        </w:rPr>
        <w:t xml:space="preserve">pace </w:t>
      </w:r>
      <w:r w:rsidR="002727AF" w:rsidRPr="000B45F2">
        <w:rPr>
          <w:bCs/>
        </w:rPr>
        <w:t>reasons firsters</w:t>
      </w:r>
      <w:r w:rsidR="00FB4B2D" w:rsidRPr="000B45F2">
        <w:rPr>
          <w:bCs/>
        </w:rPr>
        <w:t>.</w:t>
      </w:r>
      <w:r w:rsidR="007B761A" w:rsidRPr="000B45F2">
        <w:rPr>
          <w:bCs/>
        </w:rPr>
        <w:t xml:space="preserve"> </w:t>
      </w:r>
      <w:r w:rsidR="00E551AB" w:rsidRPr="000B45F2">
        <w:rPr>
          <w:bCs/>
        </w:rPr>
        <w:t xml:space="preserve">We </w:t>
      </w:r>
      <w:r w:rsidR="007B761A" w:rsidRPr="000B45F2">
        <w:rPr>
          <w:bCs/>
        </w:rPr>
        <w:t>could also</w:t>
      </w:r>
      <w:r w:rsidR="00E551AB" w:rsidRPr="000B45F2">
        <w:rPr>
          <w:bCs/>
        </w:rPr>
        <w:t xml:space="preserve"> follow Anscombe’s (1958) </w:t>
      </w:r>
      <w:r w:rsidR="00E30D99" w:rsidRPr="000B45F2">
        <w:rPr>
          <w:bCs/>
        </w:rPr>
        <w:t>suggestion</w:t>
      </w:r>
      <w:r w:rsidR="00E551AB" w:rsidRPr="000B45F2">
        <w:rPr>
          <w:bCs/>
        </w:rPr>
        <w:t xml:space="preserve"> that contemporary ethics should give up on deontic language</w:t>
      </w:r>
      <w:r w:rsidR="006E73AD">
        <w:rPr>
          <w:bCs/>
        </w:rPr>
        <w:t xml:space="preserve"> removed from</w:t>
      </w:r>
      <w:r w:rsidR="00E551AB" w:rsidRPr="000B45F2">
        <w:rPr>
          <w:bCs/>
        </w:rPr>
        <w:t xml:space="preserve"> a religious context</w:t>
      </w:r>
      <w:r w:rsidR="001010C4" w:rsidRPr="000B45F2">
        <w:rPr>
          <w:bCs/>
        </w:rPr>
        <w:t xml:space="preserve"> and focus instead on aretaic terms</w:t>
      </w:r>
      <w:r w:rsidR="00E551AB" w:rsidRPr="000B45F2">
        <w:rPr>
          <w:bCs/>
        </w:rPr>
        <w:t>.</w:t>
      </w:r>
      <w:r w:rsidR="007B761A" w:rsidRPr="000B45F2">
        <w:rPr>
          <w:bCs/>
        </w:rPr>
        <w:t xml:space="preserve"> </w:t>
      </w:r>
      <w:r w:rsidR="008429BA">
        <w:rPr>
          <w:bCs/>
        </w:rPr>
        <w:t>But more drastically</w:t>
      </w:r>
      <w:r w:rsidR="007B761A" w:rsidRPr="000B45F2">
        <w:rPr>
          <w:bCs/>
        </w:rPr>
        <w:t xml:space="preserve">, perhaps we </w:t>
      </w:r>
      <w:r w:rsidR="00065B1D">
        <w:rPr>
          <w:bCs/>
        </w:rPr>
        <w:t>could</w:t>
      </w:r>
      <w:r w:rsidR="007B761A" w:rsidRPr="000B45F2">
        <w:rPr>
          <w:bCs/>
        </w:rPr>
        <w:t xml:space="preserve"> give up on common</w:t>
      </w:r>
      <w:r w:rsidR="005407A1">
        <w:rPr>
          <w:bCs/>
        </w:rPr>
        <w:t xml:space="preserve"> </w:t>
      </w:r>
      <w:r w:rsidR="00DA1C73">
        <w:rPr>
          <w:bCs/>
        </w:rPr>
        <w:t>s</w:t>
      </w:r>
      <w:r w:rsidR="007B761A" w:rsidRPr="000B45F2">
        <w:rPr>
          <w:bCs/>
        </w:rPr>
        <w:t xml:space="preserve">ense morality. </w:t>
      </w:r>
      <w:r w:rsidR="009B66C6" w:rsidRPr="000B45F2">
        <w:rPr>
          <w:bCs/>
        </w:rPr>
        <w:t xml:space="preserve">An objective and impartial morality may seem alienating or dehumanizing despite its theoretical simplicity. But perhaps what is even more </w:t>
      </w:r>
      <w:proofErr w:type="gramStart"/>
      <w:r w:rsidR="009B66C6" w:rsidRPr="000B45F2">
        <w:rPr>
          <w:bCs/>
        </w:rPr>
        <w:t>alienating</w:t>
      </w:r>
      <w:proofErr w:type="gramEnd"/>
      <w:r w:rsidR="009B66C6" w:rsidRPr="000B45F2">
        <w:rPr>
          <w:bCs/>
        </w:rPr>
        <w:t xml:space="preserve"> or dehumanizing is a morality that can </w:t>
      </w:r>
      <w:r w:rsidR="00A0711C" w:rsidRPr="000B45F2">
        <w:rPr>
          <w:bCs/>
        </w:rPr>
        <w:t>justify the</w:t>
      </w:r>
      <w:r w:rsidR="008E45EF" w:rsidRPr="000B45F2">
        <w:rPr>
          <w:bCs/>
        </w:rPr>
        <w:t xml:space="preserve"> </w:t>
      </w:r>
      <w:r w:rsidR="00DC1450" w:rsidRPr="000B45F2">
        <w:rPr>
          <w:bCs/>
        </w:rPr>
        <w:t>inequalities and injustices</w:t>
      </w:r>
      <w:r w:rsidR="00A0711C" w:rsidRPr="000B45F2">
        <w:rPr>
          <w:bCs/>
        </w:rPr>
        <w:t xml:space="preserve"> we now face.</w:t>
      </w:r>
    </w:p>
    <w:p w14:paraId="395AF859" w14:textId="62CFDC01" w:rsidR="00FD5631" w:rsidRPr="000B45F2" w:rsidRDefault="001468D3" w:rsidP="00880ACB">
      <w:pPr>
        <w:spacing w:line="259" w:lineRule="auto"/>
        <w:jc w:val="both"/>
        <w:rPr>
          <w:bCs/>
        </w:rPr>
      </w:pPr>
      <w:r w:rsidRPr="000B45F2">
        <w:rPr>
          <w:bCs/>
        </w:rPr>
        <w:br w:type="page"/>
      </w:r>
    </w:p>
    <w:p w14:paraId="28D0F440" w14:textId="320B208C" w:rsidR="003B5142" w:rsidRPr="00651E86" w:rsidRDefault="003B5142" w:rsidP="00880ACB">
      <w:pPr>
        <w:pStyle w:val="Roeber-HeadingA"/>
        <w:jc w:val="both"/>
      </w:pPr>
      <w:r w:rsidRPr="00651E86">
        <w:lastRenderedPageBreak/>
        <w:t xml:space="preserve">References </w:t>
      </w:r>
    </w:p>
    <w:p w14:paraId="3EF97F80" w14:textId="1A376CAC" w:rsidR="003B5142" w:rsidRPr="000B45F2" w:rsidRDefault="003B5142" w:rsidP="00880ACB">
      <w:pPr>
        <w:spacing w:after="0" w:line="240" w:lineRule="auto"/>
        <w:ind w:left="720" w:hanging="720"/>
        <w:contextualSpacing/>
        <w:jc w:val="both"/>
        <w:rPr>
          <w:bCs/>
          <w:lang w:val="en-GB" w:eastAsia="en-GB"/>
        </w:rPr>
      </w:pPr>
      <w:r w:rsidRPr="000B45F2">
        <w:rPr>
          <w:bCs/>
          <w:lang w:val="en-GB" w:eastAsia="en-GB"/>
        </w:rPr>
        <w:t xml:space="preserve">Allais, Lucy. (2015) </w:t>
      </w:r>
      <w:r w:rsidRPr="000B45F2">
        <w:rPr>
          <w:bCs/>
          <w:i/>
          <w:iCs/>
          <w:lang w:val="en-GB" w:eastAsia="en-GB"/>
        </w:rPr>
        <w:t xml:space="preserve">Manifest Reality: Kant’s Idealism and His Realism. </w:t>
      </w:r>
      <w:r w:rsidRPr="000B45F2">
        <w:rPr>
          <w:bCs/>
          <w:lang w:val="en-GB" w:eastAsia="en-GB"/>
        </w:rPr>
        <w:t>Oxford University Press.</w:t>
      </w:r>
    </w:p>
    <w:p w14:paraId="16EC2642" w14:textId="6747FBDC" w:rsidR="00507C3A" w:rsidRPr="00EB34D5" w:rsidRDefault="002F1D48" w:rsidP="00880ACB">
      <w:pPr>
        <w:spacing w:after="0" w:line="240" w:lineRule="auto"/>
        <w:ind w:left="720" w:hanging="720"/>
        <w:contextualSpacing/>
        <w:jc w:val="both"/>
        <w:rPr>
          <w:bCs/>
          <w:lang w:val="en-GB" w:eastAsia="en-GB"/>
        </w:rPr>
      </w:pPr>
      <w:r w:rsidRPr="000B45F2">
        <w:rPr>
          <w:bCs/>
          <w:lang w:val="en-GB" w:eastAsia="en-GB"/>
        </w:rPr>
        <w:t xml:space="preserve">Anscombe, Elizabeth. (1958) “Modern Moral Philosophy.” </w:t>
      </w:r>
      <w:r w:rsidRPr="000B45F2">
        <w:rPr>
          <w:bCs/>
          <w:i/>
          <w:iCs/>
          <w:lang w:val="en-GB" w:eastAsia="en-GB"/>
        </w:rPr>
        <w:t xml:space="preserve">The Journal of the Royal Institute of Philosophy. </w:t>
      </w:r>
      <w:r w:rsidRPr="000B45F2">
        <w:rPr>
          <w:bCs/>
          <w:lang w:val="en-GB" w:eastAsia="en-GB"/>
        </w:rPr>
        <w:t>33 (124): 1-19.</w:t>
      </w:r>
    </w:p>
    <w:p w14:paraId="3B7010FB" w14:textId="4923BC6C" w:rsidR="00B24C14" w:rsidRPr="000B45F2" w:rsidRDefault="00B24C14" w:rsidP="00880ACB">
      <w:pPr>
        <w:spacing w:after="0" w:line="240" w:lineRule="auto"/>
        <w:ind w:left="720" w:hanging="720"/>
        <w:contextualSpacing/>
        <w:jc w:val="both"/>
        <w:rPr>
          <w:bCs/>
          <w:lang w:val="en-GB" w:eastAsia="en-GB"/>
        </w:rPr>
      </w:pPr>
      <w:r w:rsidRPr="000B45F2">
        <w:rPr>
          <w:bCs/>
          <w:lang w:val="en-GB" w:eastAsia="en-GB"/>
        </w:rPr>
        <w:t xml:space="preserve">Chang, Ruth. (2013) </w:t>
      </w:r>
      <w:r w:rsidR="000F5257" w:rsidRPr="000B45F2">
        <w:rPr>
          <w:bCs/>
          <w:lang w:val="en-GB" w:eastAsia="en-GB"/>
        </w:rPr>
        <w:t xml:space="preserve">“Grounding Practical Normativity: Going Hybrid. </w:t>
      </w:r>
      <w:r w:rsidR="000F5257" w:rsidRPr="000B45F2">
        <w:rPr>
          <w:bCs/>
          <w:i/>
          <w:iCs/>
          <w:lang w:val="en-GB" w:eastAsia="en-GB"/>
        </w:rPr>
        <w:t>Philosophical Studies</w:t>
      </w:r>
      <w:r w:rsidR="00B20F4A" w:rsidRPr="000B45F2">
        <w:rPr>
          <w:bCs/>
          <w:i/>
          <w:iCs/>
          <w:lang w:val="en-GB" w:eastAsia="en-GB"/>
        </w:rPr>
        <w:t>.</w:t>
      </w:r>
      <w:r w:rsidR="000F5257" w:rsidRPr="000B45F2">
        <w:rPr>
          <w:bCs/>
          <w:i/>
          <w:iCs/>
          <w:lang w:val="en-GB" w:eastAsia="en-GB"/>
        </w:rPr>
        <w:t xml:space="preserve"> </w:t>
      </w:r>
      <w:r w:rsidR="000F5257" w:rsidRPr="000B45F2">
        <w:rPr>
          <w:bCs/>
          <w:lang w:val="en-GB" w:eastAsia="en-GB"/>
        </w:rPr>
        <w:t>164 (1): 163-187.</w:t>
      </w:r>
    </w:p>
    <w:p w14:paraId="309FDBFA" w14:textId="0D5869BA" w:rsidR="00507C3A" w:rsidRPr="000B45F2" w:rsidRDefault="00507C3A" w:rsidP="00880ACB">
      <w:pPr>
        <w:spacing w:after="0" w:line="240" w:lineRule="auto"/>
        <w:ind w:left="720" w:hanging="720"/>
        <w:contextualSpacing/>
        <w:jc w:val="both"/>
        <w:rPr>
          <w:bCs/>
          <w:i/>
          <w:iCs/>
          <w:lang w:val="en-GB" w:eastAsia="en-GB"/>
        </w:rPr>
      </w:pPr>
      <w:r w:rsidRPr="000B45F2">
        <w:rPr>
          <w:bCs/>
          <w:lang w:val="en-GB" w:eastAsia="en-GB"/>
        </w:rPr>
        <w:t xml:space="preserve">Copleston, Frederick. (1946) </w:t>
      </w:r>
      <w:r w:rsidRPr="000B45F2">
        <w:rPr>
          <w:bCs/>
          <w:i/>
          <w:iCs/>
          <w:lang w:val="en-GB" w:eastAsia="en-GB"/>
        </w:rPr>
        <w:t>A History of Philosophy Vol. 1</w:t>
      </w:r>
      <w:r w:rsidRPr="000B45F2">
        <w:rPr>
          <w:bCs/>
          <w:lang w:val="en-GB" w:eastAsia="en-GB"/>
        </w:rPr>
        <w:t xml:space="preserve"> The Newman Press.</w:t>
      </w:r>
    </w:p>
    <w:p w14:paraId="7B69F770" w14:textId="04DAC450" w:rsidR="004E1987" w:rsidRPr="000B45F2" w:rsidRDefault="004E1987" w:rsidP="00880ACB">
      <w:pPr>
        <w:spacing w:after="0" w:line="240" w:lineRule="auto"/>
        <w:ind w:left="720" w:hanging="720"/>
        <w:contextualSpacing/>
        <w:jc w:val="both"/>
        <w:rPr>
          <w:bCs/>
          <w:lang w:val="en-GB" w:eastAsia="en-GB"/>
        </w:rPr>
      </w:pPr>
      <w:r w:rsidRPr="000B45F2">
        <w:rPr>
          <w:bCs/>
          <w:lang w:val="en-GB" w:eastAsia="en-GB"/>
        </w:rPr>
        <w:t>Dancy, Jonathan. (</w:t>
      </w:r>
      <w:r w:rsidR="00567247">
        <w:rPr>
          <w:bCs/>
          <w:lang w:val="en-GB" w:eastAsia="en-GB"/>
        </w:rPr>
        <w:t>1993</w:t>
      </w:r>
      <w:r w:rsidRPr="000B45F2">
        <w:rPr>
          <w:bCs/>
          <w:lang w:val="en-GB" w:eastAsia="en-GB"/>
        </w:rPr>
        <w:t xml:space="preserve">) </w:t>
      </w:r>
      <w:r w:rsidR="00567247">
        <w:rPr>
          <w:bCs/>
          <w:i/>
          <w:iCs/>
          <w:lang w:val="en-GB" w:eastAsia="en-GB"/>
        </w:rPr>
        <w:t>Moral Reasons</w:t>
      </w:r>
      <w:r w:rsidRPr="000B45F2">
        <w:rPr>
          <w:bCs/>
          <w:i/>
          <w:iCs/>
          <w:lang w:val="en-GB" w:eastAsia="en-GB"/>
        </w:rPr>
        <w:t xml:space="preserve">. </w:t>
      </w:r>
      <w:r w:rsidR="00567247">
        <w:rPr>
          <w:bCs/>
          <w:lang w:val="en-GB" w:eastAsia="en-GB"/>
        </w:rPr>
        <w:t>Wiley Blackwell Press.</w:t>
      </w:r>
    </w:p>
    <w:p w14:paraId="456004C4" w14:textId="5660AD52" w:rsidR="00175AE7" w:rsidRPr="000B45F2" w:rsidRDefault="00175AE7" w:rsidP="00880ACB">
      <w:pPr>
        <w:spacing w:after="0" w:line="240" w:lineRule="auto"/>
        <w:ind w:left="720" w:hanging="720"/>
        <w:contextualSpacing/>
        <w:jc w:val="both"/>
        <w:rPr>
          <w:bCs/>
          <w:lang w:val="en-GB" w:eastAsia="en-GB"/>
        </w:rPr>
      </w:pPr>
      <w:r w:rsidRPr="000B45F2">
        <w:rPr>
          <w:bCs/>
          <w:lang w:val="en-GB" w:eastAsia="en-GB"/>
        </w:rPr>
        <w:t xml:space="preserve">Dorsey, Dale. (2016) </w:t>
      </w:r>
      <w:r w:rsidRPr="000B45F2">
        <w:rPr>
          <w:bCs/>
          <w:i/>
          <w:iCs/>
          <w:lang w:val="en-GB" w:eastAsia="en-GB"/>
        </w:rPr>
        <w:t xml:space="preserve">The Limits of </w:t>
      </w:r>
      <w:r w:rsidR="00131686" w:rsidRPr="000B45F2">
        <w:rPr>
          <w:bCs/>
          <w:i/>
          <w:iCs/>
          <w:lang w:val="en-GB" w:eastAsia="en-GB"/>
        </w:rPr>
        <w:t xml:space="preserve">Moral </w:t>
      </w:r>
      <w:r w:rsidRPr="000B45F2">
        <w:rPr>
          <w:bCs/>
          <w:i/>
          <w:iCs/>
          <w:lang w:val="en-GB" w:eastAsia="en-GB"/>
        </w:rPr>
        <w:t>Authority</w:t>
      </w:r>
      <w:r w:rsidRPr="000B45F2">
        <w:rPr>
          <w:bCs/>
          <w:lang w:val="en-GB" w:eastAsia="en-GB"/>
        </w:rPr>
        <w:t>. Oxford University Press.</w:t>
      </w:r>
    </w:p>
    <w:p w14:paraId="1E180FBB" w14:textId="2EA4D36B" w:rsidR="00621D14" w:rsidRPr="00621D14" w:rsidRDefault="00621D14" w:rsidP="00880ACB">
      <w:pPr>
        <w:spacing w:after="0" w:line="240" w:lineRule="auto"/>
        <w:ind w:left="720" w:hanging="720"/>
        <w:contextualSpacing/>
        <w:jc w:val="both"/>
        <w:rPr>
          <w:bCs/>
          <w:lang w:eastAsia="en-GB"/>
        </w:rPr>
      </w:pPr>
      <w:r w:rsidRPr="00621D14">
        <w:rPr>
          <w:bCs/>
          <w:lang w:eastAsia="en-GB"/>
        </w:rPr>
        <w:t xml:space="preserve">Dworkin, R., 1984, “Rights as Trumps,” </w:t>
      </w:r>
      <w:r>
        <w:rPr>
          <w:bCs/>
          <w:lang w:eastAsia="en-GB"/>
        </w:rPr>
        <w:t>I</w:t>
      </w:r>
      <w:r w:rsidRPr="00621D14">
        <w:rPr>
          <w:bCs/>
          <w:lang w:eastAsia="en-GB"/>
        </w:rPr>
        <w:t xml:space="preserve">n </w:t>
      </w:r>
      <w:r>
        <w:rPr>
          <w:bCs/>
          <w:i/>
          <w:iCs/>
          <w:lang w:eastAsia="en-GB"/>
        </w:rPr>
        <w:t>Theories of Rights</w:t>
      </w:r>
      <w:r>
        <w:rPr>
          <w:bCs/>
          <w:lang w:eastAsia="en-GB"/>
        </w:rPr>
        <w:t>,</w:t>
      </w:r>
      <w:r>
        <w:rPr>
          <w:bCs/>
          <w:i/>
          <w:iCs/>
          <w:lang w:eastAsia="en-GB"/>
        </w:rPr>
        <w:t xml:space="preserve"> </w:t>
      </w:r>
      <w:r>
        <w:rPr>
          <w:bCs/>
          <w:lang w:eastAsia="en-GB"/>
        </w:rPr>
        <w:t xml:space="preserve">edited by Jeremy </w:t>
      </w:r>
      <w:r w:rsidRPr="00621D14">
        <w:rPr>
          <w:bCs/>
          <w:lang w:eastAsia="en-GB"/>
        </w:rPr>
        <w:t>Waldron</w:t>
      </w:r>
      <w:r>
        <w:rPr>
          <w:bCs/>
          <w:lang w:eastAsia="en-GB"/>
        </w:rPr>
        <w:t xml:space="preserve">. Oxford University Press. </w:t>
      </w:r>
    </w:p>
    <w:p w14:paraId="5B50C938" w14:textId="3180F627" w:rsidR="003B5142" w:rsidRPr="000B45F2" w:rsidRDefault="003B5142" w:rsidP="00880ACB">
      <w:pPr>
        <w:spacing w:after="0" w:line="240" w:lineRule="auto"/>
        <w:ind w:left="720" w:hanging="720"/>
        <w:contextualSpacing/>
        <w:jc w:val="both"/>
        <w:rPr>
          <w:bCs/>
          <w:i/>
          <w:iCs/>
          <w:lang w:val="en-GB" w:eastAsia="en-GB"/>
        </w:rPr>
      </w:pPr>
      <w:r w:rsidRPr="000B45F2">
        <w:rPr>
          <w:bCs/>
          <w:lang w:val="en-GB" w:eastAsia="en-GB"/>
        </w:rPr>
        <w:t xml:space="preserve">Finlay, Stephen. (2014) </w:t>
      </w:r>
      <w:r w:rsidRPr="000B45F2">
        <w:rPr>
          <w:bCs/>
          <w:i/>
          <w:iCs/>
          <w:lang w:val="en-GB" w:eastAsia="en-GB"/>
        </w:rPr>
        <w:t>Confusion of Tongues: A Theory of Normative Language</w:t>
      </w:r>
    </w:p>
    <w:p w14:paraId="27BF8404" w14:textId="3A564A8E" w:rsidR="004E1987" w:rsidRPr="000B45F2" w:rsidRDefault="004E1987" w:rsidP="00880ACB">
      <w:pPr>
        <w:spacing w:after="0" w:line="240" w:lineRule="auto"/>
        <w:ind w:left="720" w:hanging="720"/>
        <w:contextualSpacing/>
        <w:jc w:val="both"/>
        <w:rPr>
          <w:bCs/>
          <w:lang w:val="en-GB" w:eastAsia="en-GB"/>
        </w:rPr>
      </w:pPr>
      <w:r w:rsidRPr="000B45F2">
        <w:rPr>
          <w:bCs/>
          <w:lang w:val="en-GB" w:eastAsia="en-GB"/>
        </w:rPr>
        <w:t xml:space="preserve">Gert, Joshua. (2003) “Requiring and Justifying: Two Dimensions of Normative Strength.” </w:t>
      </w:r>
      <w:r w:rsidRPr="000B45F2">
        <w:rPr>
          <w:bCs/>
          <w:i/>
          <w:iCs/>
          <w:lang w:val="en-GB" w:eastAsia="en-GB"/>
        </w:rPr>
        <w:t xml:space="preserve">Erkenntnis. </w:t>
      </w:r>
      <w:r w:rsidRPr="000B45F2">
        <w:rPr>
          <w:bCs/>
          <w:lang w:val="en-GB" w:eastAsia="en-GB"/>
        </w:rPr>
        <w:t>59: 5-36.</w:t>
      </w:r>
    </w:p>
    <w:p w14:paraId="64663BF7" w14:textId="54C5881A" w:rsidR="00175AE7" w:rsidRPr="000B45F2" w:rsidRDefault="0074601F" w:rsidP="00880ACB">
      <w:pPr>
        <w:spacing w:after="0" w:line="240" w:lineRule="auto"/>
        <w:ind w:left="720" w:hanging="720"/>
        <w:contextualSpacing/>
        <w:jc w:val="both"/>
        <w:rPr>
          <w:bCs/>
          <w:lang w:val="en-GB" w:eastAsia="en-GB"/>
        </w:rPr>
      </w:pPr>
      <w:r w:rsidRPr="000B45F2">
        <w:rPr>
          <w:bCs/>
          <w:lang w:val="en-GB" w:eastAsia="en-GB"/>
        </w:rPr>
        <w:t xml:space="preserve">Irwin, Terrence. (2011) </w:t>
      </w:r>
      <w:r w:rsidRPr="000B45F2">
        <w:rPr>
          <w:bCs/>
          <w:i/>
          <w:iCs/>
          <w:lang w:val="en-GB" w:eastAsia="en-GB"/>
        </w:rPr>
        <w:t xml:space="preserve">The Development of Ethics Vol 1-3. </w:t>
      </w:r>
      <w:r w:rsidRPr="000B45F2">
        <w:rPr>
          <w:bCs/>
          <w:lang w:val="en-GB" w:eastAsia="en-GB"/>
        </w:rPr>
        <w:t>Oxford University Press.</w:t>
      </w:r>
    </w:p>
    <w:p w14:paraId="34E52EE6" w14:textId="24F1B5C6" w:rsidR="00334643" w:rsidRPr="000B45F2" w:rsidRDefault="00334643" w:rsidP="00880ACB">
      <w:pPr>
        <w:spacing w:after="0" w:line="240" w:lineRule="auto"/>
        <w:ind w:left="720" w:hanging="720"/>
        <w:contextualSpacing/>
        <w:jc w:val="both"/>
        <w:rPr>
          <w:bCs/>
          <w:lang w:val="en-GB" w:eastAsia="en-GB"/>
        </w:rPr>
      </w:pPr>
      <w:r w:rsidRPr="000B45F2">
        <w:rPr>
          <w:bCs/>
          <w:lang w:val="en-GB" w:eastAsia="en-GB"/>
        </w:rPr>
        <w:t xml:space="preserve">Kagan, Shelly. (1989) </w:t>
      </w:r>
      <w:r w:rsidRPr="000B45F2">
        <w:rPr>
          <w:bCs/>
          <w:i/>
          <w:iCs/>
          <w:lang w:val="en-GB" w:eastAsia="en-GB"/>
        </w:rPr>
        <w:t>The Limits of Morality</w:t>
      </w:r>
      <w:r w:rsidRPr="000B45F2">
        <w:rPr>
          <w:bCs/>
          <w:lang w:val="en-GB" w:eastAsia="en-GB"/>
        </w:rPr>
        <w:t>. Oxford University Press.</w:t>
      </w:r>
    </w:p>
    <w:p w14:paraId="67D736CF" w14:textId="3B9E84B3" w:rsidR="00490AE8" w:rsidRPr="000B45F2" w:rsidRDefault="00490AE8" w:rsidP="00880ACB">
      <w:pPr>
        <w:spacing w:after="0" w:line="240" w:lineRule="auto"/>
        <w:ind w:left="720" w:hanging="720"/>
        <w:contextualSpacing/>
        <w:jc w:val="both"/>
        <w:rPr>
          <w:bCs/>
          <w:lang w:val="en-GB" w:eastAsia="en-GB"/>
        </w:rPr>
      </w:pPr>
      <w:r w:rsidRPr="000B45F2">
        <w:rPr>
          <w:bCs/>
          <w:lang w:val="en-GB" w:eastAsia="en-GB"/>
        </w:rPr>
        <w:t xml:space="preserve">Korsgaard, Christine. (2009) </w:t>
      </w:r>
      <w:r w:rsidRPr="000B45F2">
        <w:rPr>
          <w:bCs/>
          <w:i/>
          <w:iCs/>
          <w:lang w:val="en-GB" w:eastAsia="en-GB"/>
        </w:rPr>
        <w:t>Self-Constitution: Agency, Identity, and Integrity</w:t>
      </w:r>
      <w:r w:rsidRPr="000B45F2">
        <w:rPr>
          <w:bCs/>
          <w:lang w:val="en-GB" w:eastAsia="en-GB"/>
        </w:rPr>
        <w:t>. Oxford University Press.</w:t>
      </w:r>
    </w:p>
    <w:p w14:paraId="4B5599F9" w14:textId="3FC38118" w:rsidR="00F765D1" w:rsidRPr="000B45F2" w:rsidRDefault="00F765D1" w:rsidP="00880ACB">
      <w:pPr>
        <w:spacing w:after="0" w:line="240" w:lineRule="auto"/>
        <w:ind w:left="720" w:hanging="720"/>
        <w:contextualSpacing/>
        <w:jc w:val="both"/>
        <w:rPr>
          <w:bCs/>
        </w:rPr>
      </w:pPr>
      <w:r w:rsidRPr="000B45F2">
        <w:rPr>
          <w:bCs/>
        </w:rPr>
        <w:t>Little, Margaret and Colleen McNamara (</w:t>
      </w:r>
      <w:r w:rsidR="001F14CD">
        <w:rPr>
          <w:bCs/>
        </w:rPr>
        <w:t xml:space="preserve">draft </w:t>
      </w:r>
      <w:r w:rsidRPr="000B45F2">
        <w:rPr>
          <w:bCs/>
        </w:rPr>
        <w:t>presented at 15</w:t>
      </w:r>
      <w:r w:rsidRPr="000B45F2">
        <w:rPr>
          <w:bCs/>
          <w:vertAlign w:val="superscript"/>
        </w:rPr>
        <w:t>th</w:t>
      </w:r>
      <w:r w:rsidRPr="000B45F2">
        <w:rPr>
          <w:bCs/>
        </w:rPr>
        <w:t xml:space="preserve"> Madison Metaethics Conference) “When Reasons Run Out”</w:t>
      </w:r>
    </w:p>
    <w:p w14:paraId="318E91C5" w14:textId="2AE81FB4" w:rsidR="00B24C14" w:rsidRPr="000B45F2" w:rsidRDefault="00B24C14" w:rsidP="00880ACB">
      <w:pPr>
        <w:spacing w:after="0" w:line="240" w:lineRule="auto"/>
        <w:ind w:left="720" w:hanging="720"/>
        <w:contextualSpacing/>
        <w:jc w:val="both"/>
        <w:rPr>
          <w:bCs/>
          <w:lang w:val="en-GB" w:eastAsia="en-GB"/>
        </w:rPr>
      </w:pPr>
      <w:r w:rsidRPr="000B45F2">
        <w:rPr>
          <w:bCs/>
          <w:lang w:val="en-GB" w:eastAsia="en-GB"/>
        </w:rPr>
        <w:t xml:space="preserve">Lord, </w:t>
      </w:r>
      <w:proofErr w:type="gramStart"/>
      <w:r w:rsidRPr="000B45F2">
        <w:rPr>
          <w:bCs/>
          <w:lang w:val="en-GB" w:eastAsia="en-GB"/>
        </w:rPr>
        <w:t>Errol</w:t>
      </w:r>
      <w:proofErr w:type="gramEnd"/>
      <w:r w:rsidRPr="000B45F2">
        <w:rPr>
          <w:bCs/>
          <w:lang w:val="en-GB" w:eastAsia="en-GB"/>
        </w:rPr>
        <w:t xml:space="preserve"> and Barry Maguire (2016) </w:t>
      </w:r>
      <w:r w:rsidRPr="000B45F2">
        <w:rPr>
          <w:bCs/>
          <w:i/>
          <w:iCs/>
          <w:lang w:val="en-GB" w:eastAsia="en-GB"/>
        </w:rPr>
        <w:t>Weighing Reasons</w:t>
      </w:r>
      <w:r w:rsidRPr="000B45F2">
        <w:rPr>
          <w:bCs/>
          <w:lang w:val="en-GB" w:eastAsia="en-GB"/>
        </w:rPr>
        <w:t>. Oxford University Press.</w:t>
      </w:r>
    </w:p>
    <w:p w14:paraId="281AFE2C" w14:textId="3BF8ADC5" w:rsidR="003B5142" w:rsidRPr="000B45F2" w:rsidRDefault="00984411" w:rsidP="00880ACB">
      <w:pPr>
        <w:spacing w:after="0" w:line="240" w:lineRule="auto"/>
        <w:contextualSpacing/>
        <w:jc w:val="both"/>
        <w:rPr>
          <w:bCs/>
          <w:lang w:val="en-GB" w:eastAsia="en-GB"/>
        </w:rPr>
      </w:pPr>
      <w:r w:rsidRPr="000B45F2">
        <w:rPr>
          <w:bCs/>
          <w:lang w:val="en-GB" w:eastAsia="en-GB"/>
        </w:rPr>
        <w:t xml:space="preserve">Maguire, Barry. (2017) “Love in the Time of Consequentialism.” </w:t>
      </w:r>
      <w:r w:rsidRPr="000B45F2">
        <w:rPr>
          <w:bCs/>
          <w:i/>
          <w:iCs/>
          <w:lang w:val="en-GB" w:eastAsia="en-GB"/>
        </w:rPr>
        <w:t>Nous</w:t>
      </w:r>
      <w:r w:rsidRPr="000B45F2">
        <w:rPr>
          <w:bCs/>
          <w:lang w:val="en-GB" w:eastAsia="en-GB"/>
        </w:rPr>
        <w:t>. 51 (4): 687-712</w:t>
      </w:r>
    </w:p>
    <w:p w14:paraId="07CC556A" w14:textId="773C873B" w:rsidR="00024ACE" w:rsidRPr="000B45F2" w:rsidRDefault="00B24C14" w:rsidP="00880ACB">
      <w:pPr>
        <w:spacing w:after="0" w:line="240" w:lineRule="auto"/>
        <w:ind w:left="720" w:hanging="720"/>
        <w:contextualSpacing/>
        <w:jc w:val="both"/>
        <w:rPr>
          <w:bCs/>
        </w:rPr>
      </w:pPr>
      <w:r w:rsidRPr="000B45F2">
        <w:rPr>
          <w:bCs/>
        </w:rPr>
        <w:t xml:space="preserve">Manne, Kate. (2016) “Democratizing Humeanism.” In </w:t>
      </w:r>
      <w:r w:rsidRPr="000B45F2">
        <w:rPr>
          <w:bCs/>
          <w:i/>
          <w:iCs/>
        </w:rPr>
        <w:t>Weighing Reasons</w:t>
      </w:r>
      <w:r w:rsidRPr="000B45F2">
        <w:rPr>
          <w:bCs/>
        </w:rPr>
        <w:t xml:space="preserve">, edited by Errol Lord and Barry Maguire. </w:t>
      </w:r>
    </w:p>
    <w:p w14:paraId="681CE33C" w14:textId="0C084E01" w:rsidR="00B24C14" w:rsidRPr="000B45F2" w:rsidRDefault="00B24C14" w:rsidP="00880ACB">
      <w:pPr>
        <w:spacing w:after="0" w:line="240" w:lineRule="auto"/>
        <w:ind w:left="720" w:hanging="720"/>
        <w:contextualSpacing/>
        <w:jc w:val="both"/>
        <w:rPr>
          <w:bCs/>
        </w:rPr>
      </w:pPr>
      <w:r w:rsidRPr="000B45F2">
        <w:rPr>
          <w:bCs/>
        </w:rPr>
        <w:t xml:space="preserve">Markovits, Julia. (2014) </w:t>
      </w:r>
      <w:r w:rsidRPr="000B45F2">
        <w:rPr>
          <w:bCs/>
          <w:i/>
          <w:iCs/>
        </w:rPr>
        <w:t>Moral Reasons</w:t>
      </w:r>
      <w:r w:rsidRPr="000B45F2">
        <w:rPr>
          <w:bCs/>
        </w:rPr>
        <w:t>. Oxford University Press.</w:t>
      </w:r>
    </w:p>
    <w:p w14:paraId="501FF70B" w14:textId="670AD258" w:rsidR="005F384E" w:rsidRPr="000B45F2" w:rsidRDefault="005F384E" w:rsidP="00880ACB">
      <w:pPr>
        <w:spacing w:after="0" w:line="240" w:lineRule="auto"/>
        <w:ind w:left="720" w:hanging="720"/>
        <w:contextualSpacing/>
        <w:jc w:val="both"/>
        <w:rPr>
          <w:bCs/>
        </w:rPr>
      </w:pPr>
      <w:r w:rsidRPr="000B45F2">
        <w:rPr>
          <w:bCs/>
        </w:rPr>
        <w:t>Mill, J. S. (1859)</w:t>
      </w:r>
      <w:r w:rsidRPr="000B45F2">
        <w:rPr>
          <w:bCs/>
          <w:i/>
          <w:iCs/>
          <w:color w:val="1A1A1A"/>
          <w:sz w:val="25"/>
          <w:szCs w:val="25"/>
          <w:shd w:val="clear" w:color="auto" w:fill="FFFFFF"/>
        </w:rPr>
        <w:t xml:space="preserve"> </w:t>
      </w:r>
      <w:r w:rsidRPr="000B45F2">
        <w:rPr>
          <w:bCs/>
          <w:i/>
          <w:iCs/>
        </w:rPr>
        <w:t>On Liberty</w:t>
      </w:r>
      <w:r w:rsidRPr="000B45F2">
        <w:rPr>
          <w:bCs/>
        </w:rPr>
        <w:t>; page reference in the text is to the reprint in J. Mill, </w:t>
      </w:r>
      <w:r w:rsidRPr="000B45F2">
        <w:rPr>
          <w:bCs/>
          <w:i/>
          <w:iCs/>
        </w:rPr>
        <w:t>On Liberty and Other Essays</w:t>
      </w:r>
      <w:r w:rsidRPr="000B45F2">
        <w:rPr>
          <w:bCs/>
        </w:rPr>
        <w:t>, S. Collini (ed.), Cambridge: Cambridge University Press, 1989.</w:t>
      </w:r>
    </w:p>
    <w:p w14:paraId="6E720286" w14:textId="7809B02B" w:rsidR="001217EF" w:rsidRDefault="00375032" w:rsidP="00880ACB">
      <w:pPr>
        <w:spacing w:after="0" w:line="240" w:lineRule="auto"/>
        <w:ind w:left="720" w:hanging="720"/>
        <w:contextualSpacing/>
        <w:jc w:val="both"/>
        <w:rPr>
          <w:bCs/>
          <w:lang w:val="en-GB" w:eastAsia="en-GB"/>
        </w:rPr>
      </w:pPr>
      <w:r>
        <w:rPr>
          <w:bCs/>
          <w:lang w:val="en-GB" w:eastAsia="en-GB"/>
        </w:rPr>
        <w:t>Mũnoz</w:t>
      </w:r>
      <w:r w:rsidR="00334643" w:rsidRPr="000B45F2">
        <w:rPr>
          <w:bCs/>
          <w:lang w:val="en-GB" w:eastAsia="en-GB"/>
        </w:rPr>
        <w:t xml:space="preserve">, Daniel. </w:t>
      </w:r>
      <w:r w:rsidR="001217EF">
        <w:rPr>
          <w:bCs/>
          <w:lang w:val="en-GB" w:eastAsia="en-GB"/>
        </w:rPr>
        <w:t>(</w:t>
      </w:r>
      <w:proofErr w:type="gramStart"/>
      <w:r w:rsidR="001217EF">
        <w:rPr>
          <w:bCs/>
          <w:lang w:val="en-GB" w:eastAsia="en-GB"/>
        </w:rPr>
        <w:t>forthoming</w:t>
      </w:r>
      <w:proofErr w:type="gramEnd"/>
      <w:r w:rsidR="001217EF">
        <w:rPr>
          <w:bCs/>
          <w:lang w:val="en-GB" w:eastAsia="en-GB"/>
        </w:rPr>
        <w:t xml:space="preserve"> in</w:t>
      </w:r>
      <w:r w:rsidR="001217EF" w:rsidRPr="001217EF">
        <w:rPr>
          <w:i/>
          <w:iCs/>
        </w:rPr>
        <w:t xml:space="preserve"> </w:t>
      </w:r>
      <w:r w:rsidR="001217EF" w:rsidRPr="00FF1610">
        <w:rPr>
          <w:i/>
          <w:iCs/>
        </w:rPr>
        <w:t>Noûs</w:t>
      </w:r>
      <w:r w:rsidR="001217EF">
        <w:rPr>
          <w:bCs/>
          <w:lang w:val="en-GB" w:eastAsia="en-GB"/>
        </w:rPr>
        <w:t>) “Three Paradoxes of Suprerogation.”</w:t>
      </w:r>
      <w:r w:rsidR="00EE76AD" w:rsidRPr="00EE76AD">
        <w:t xml:space="preserve"> </w:t>
      </w:r>
      <w:hyperlink r:id="rId8" w:history="1">
        <w:r w:rsidR="00EE76AD" w:rsidRPr="001A3704">
          <w:rPr>
            <w:rStyle w:val="Hyperlink"/>
            <w:bCs/>
            <w:lang w:val="en-GB" w:eastAsia="en-GB"/>
          </w:rPr>
          <w:t>https://onlinelibrary.wiley.com/doi/abs/10.1111/nous.12326</w:t>
        </w:r>
      </w:hyperlink>
      <w:r w:rsidR="00EE76AD">
        <w:rPr>
          <w:bCs/>
          <w:lang w:val="en-GB" w:eastAsia="en-GB"/>
        </w:rPr>
        <w:t xml:space="preserve"> </w:t>
      </w:r>
    </w:p>
    <w:p w14:paraId="6EA48486" w14:textId="23E2BB81" w:rsidR="001217EF" w:rsidRPr="000B45F2" w:rsidRDefault="00334643" w:rsidP="00EE76AD">
      <w:pPr>
        <w:spacing w:after="0" w:line="240" w:lineRule="auto"/>
        <w:ind w:left="720"/>
        <w:contextualSpacing/>
        <w:jc w:val="both"/>
        <w:rPr>
          <w:bCs/>
          <w:lang w:val="en-GB" w:eastAsia="en-GB"/>
        </w:rPr>
      </w:pPr>
      <w:r w:rsidRPr="000B45F2">
        <w:rPr>
          <w:bCs/>
          <w:lang w:val="en-GB" w:eastAsia="en-GB"/>
        </w:rPr>
        <w:t>(</w:t>
      </w:r>
      <w:proofErr w:type="gramStart"/>
      <w:r w:rsidR="00D07A7D" w:rsidRPr="000B45F2">
        <w:rPr>
          <w:bCs/>
          <w:lang w:val="en-GB" w:eastAsia="en-GB"/>
        </w:rPr>
        <w:t>draft</w:t>
      </w:r>
      <w:proofErr w:type="gramEnd"/>
      <w:r w:rsidR="00D07A7D" w:rsidRPr="000B45F2">
        <w:rPr>
          <w:bCs/>
          <w:lang w:val="en-GB" w:eastAsia="en-GB"/>
        </w:rPr>
        <w:t xml:space="preserve"> </w:t>
      </w:r>
      <w:r w:rsidRPr="000B45F2">
        <w:rPr>
          <w:bCs/>
          <w:lang w:val="en-GB" w:eastAsia="en-GB"/>
        </w:rPr>
        <w:t xml:space="preserve">forthcoming in </w:t>
      </w:r>
      <w:r w:rsidRPr="000B45F2">
        <w:rPr>
          <w:bCs/>
          <w:i/>
          <w:iCs/>
          <w:lang w:val="en-GB" w:eastAsia="en-GB"/>
        </w:rPr>
        <w:t>Philosophy and Phenomenological Research</w:t>
      </w:r>
      <w:r w:rsidRPr="000B45F2">
        <w:rPr>
          <w:bCs/>
          <w:lang w:val="en-GB" w:eastAsia="en-GB"/>
        </w:rPr>
        <w:t>) “From Rights to Prerogatives.”</w:t>
      </w:r>
      <w:r w:rsidR="00DB5D0C" w:rsidRPr="000B45F2">
        <w:rPr>
          <w:bCs/>
          <w:lang w:val="en-GB" w:eastAsia="en-GB"/>
        </w:rPr>
        <w:t xml:space="preserve"> </w:t>
      </w:r>
      <w:hyperlink r:id="rId9" w:history="1">
        <w:r w:rsidR="001217EF" w:rsidRPr="001A3704">
          <w:rPr>
            <w:rStyle w:val="Hyperlink"/>
            <w:bCs/>
            <w:lang w:val="en-GB" w:eastAsia="en-GB"/>
          </w:rPr>
          <w:t>https://philpapers.org/archive/MUOFRT.pdf</w:t>
        </w:r>
      </w:hyperlink>
    </w:p>
    <w:p w14:paraId="352B7BD8" w14:textId="50A4969E" w:rsidR="00916059" w:rsidRPr="000B45F2" w:rsidRDefault="00916059" w:rsidP="00880ACB">
      <w:pPr>
        <w:spacing w:after="0" w:line="240" w:lineRule="auto"/>
        <w:ind w:left="720" w:hanging="720"/>
        <w:contextualSpacing/>
        <w:jc w:val="both"/>
        <w:rPr>
          <w:bCs/>
        </w:rPr>
      </w:pPr>
      <w:r w:rsidRPr="000B45F2">
        <w:rPr>
          <w:bCs/>
        </w:rPr>
        <w:t xml:space="preserve">Owens, David. (2012) </w:t>
      </w:r>
      <w:r w:rsidRPr="000B45F2">
        <w:rPr>
          <w:bCs/>
          <w:i/>
          <w:iCs/>
        </w:rPr>
        <w:t>Shaping the Normative Landscape.</w:t>
      </w:r>
      <w:r w:rsidRPr="000B45F2">
        <w:rPr>
          <w:bCs/>
        </w:rPr>
        <w:t xml:space="preserve"> Oxford University Press.</w:t>
      </w:r>
    </w:p>
    <w:p w14:paraId="7C6A4057" w14:textId="6E5D7B2F" w:rsidR="00E47567" w:rsidRPr="000B45F2" w:rsidRDefault="00E47567" w:rsidP="00880ACB">
      <w:pPr>
        <w:spacing w:after="0" w:line="240" w:lineRule="auto"/>
        <w:ind w:left="720" w:hanging="720"/>
        <w:contextualSpacing/>
        <w:jc w:val="both"/>
        <w:rPr>
          <w:bCs/>
        </w:rPr>
      </w:pPr>
      <w:r w:rsidRPr="000B45F2">
        <w:rPr>
          <w:bCs/>
        </w:rPr>
        <w:t xml:space="preserve">Pettit, Philip (1988). </w:t>
      </w:r>
      <w:r w:rsidRPr="000B45F2">
        <w:rPr>
          <w:bCs/>
          <w:color w:val="1A1A1A"/>
          <w:sz w:val="25"/>
          <w:szCs w:val="25"/>
          <w:shd w:val="clear" w:color="auto" w:fill="FFFFFF"/>
        </w:rPr>
        <w:t>“The Consequentialist can Recognize Rights.” </w:t>
      </w:r>
      <w:r w:rsidRPr="000B45F2">
        <w:rPr>
          <w:rStyle w:val="Emphasis"/>
          <w:bCs/>
          <w:color w:val="1A1A1A"/>
          <w:sz w:val="25"/>
          <w:szCs w:val="25"/>
          <w:shd w:val="clear" w:color="auto" w:fill="FFFFFF"/>
        </w:rPr>
        <w:t>Philosophical Quarterly</w:t>
      </w:r>
      <w:r w:rsidRPr="000B45F2">
        <w:rPr>
          <w:bCs/>
          <w:color w:val="1A1A1A"/>
          <w:sz w:val="25"/>
          <w:szCs w:val="25"/>
          <w:shd w:val="clear" w:color="auto" w:fill="FFFFFF"/>
        </w:rPr>
        <w:t>, 38: 42–55.</w:t>
      </w:r>
    </w:p>
    <w:p w14:paraId="3DE2C2CF" w14:textId="27D04816" w:rsidR="00515FFC" w:rsidRPr="000B45F2" w:rsidRDefault="00515FFC" w:rsidP="00880ACB">
      <w:pPr>
        <w:spacing w:after="0" w:line="240" w:lineRule="auto"/>
        <w:ind w:left="720" w:hanging="720"/>
        <w:contextualSpacing/>
        <w:jc w:val="both"/>
        <w:rPr>
          <w:bCs/>
        </w:rPr>
      </w:pPr>
      <w:r w:rsidRPr="000B45F2">
        <w:rPr>
          <w:bCs/>
        </w:rPr>
        <w:t xml:space="preserve">Portmore, Douglas. (2011) </w:t>
      </w:r>
      <w:r w:rsidRPr="000B45F2">
        <w:rPr>
          <w:bCs/>
          <w:i/>
          <w:iCs/>
        </w:rPr>
        <w:t xml:space="preserve">Commonsense Consequentialism: Wherein Morality Meets Rationality. </w:t>
      </w:r>
      <w:r w:rsidRPr="000B45F2">
        <w:rPr>
          <w:bCs/>
        </w:rPr>
        <w:t>Oxford University Press.</w:t>
      </w:r>
    </w:p>
    <w:p w14:paraId="1107A039" w14:textId="04555577" w:rsidR="00334643" w:rsidRPr="000B45F2" w:rsidRDefault="00334643" w:rsidP="00880ACB">
      <w:pPr>
        <w:spacing w:after="0" w:line="240" w:lineRule="auto"/>
        <w:ind w:left="720" w:hanging="720"/>
        <w:contextualSpacing/>
        <w:jc w:val="both"/>
        <w:rPr>
          <w:bCs/>
        </w:rPr>
      </w:pPr>
      <w:r w:rsidRPr="000B45F2">
        <w:rPr>
          <w:bCs/>
        </w:rPr>
        <w:t xml:space="preserve">Prichard, H. A. (1912) “Does Moral Philosophy Rest on a Mistake?” </w:t>
      </w:r>
      <w:r w:rsidRPr="000B45F2">
        <w:rPr>
          <w:bCs/>
          <w:i/>
          <w:iCs/>
        </w:rPr>
        <w:t>Mind</w:t>
      </w:r>
      <w:r w:rsidRPr="000B45F2">
        <w:rPr>
          <w:bCs/>
        </w:rPr>
        <w:t>. 21 (81): 21-37.</w:t>
      </w:r>
    </w:p>
    <w:p w14:paraId="0377A859" w14:textId="3A420470" w:rsidR="004E700A" w:rsidRPr="000B45F2" w:rsidRDefault="004E700A" w:rsidP="00880ACB">
      <w:pPr>
        <w:spacing w:after="0" w:line="240" w:lineRule="auto"/>
        <w:ind w:left="720" w:hanging="720"/>
        <w:contextualSpacing/>
        <w:jc w:val="both"/>
        <w:rPr>
          <w:bCs/>
        </w:rPr>
      </w:pPr>
      <w:r w:rsidRPr="000B45F2">
        <w:rPr>
          <w:bCs/>
        </w:rPr>
        <w:t xml:space="preserve">Robertson, Simon. (2008) “Not So Enticing Reasons.” </w:t>
      </w:r>
      <w:r w:rsidRPr="000B45F2">
        <w:rPr>
          <w:bCs/>
          <w:i/>
          <w:iCs/>
        </w:rPr>
        <w:t>Ethical Theory and Moral Practice</w:t>
      </w:r>
      <w:r w:rsidRPr="000B45F2">
        <w:rPr>
          <w:bCs/>
        </w:rPr>
        <w:t xml:space="preserve"> 11 (3): 263-277.</w:t>
      </w:r>
    </w:p>
    <w:p w14:paraId="1AFA1BB4" w14:textId="6D5D1A8B" w:rsidR="00E47567" w:rsidRPr="000B45F2" w:rsidRDefault="00E47567" w:rsidP="00880ACB">
      <w:pPr>
        <w:spacing w:after="0" w:line="240" w:lineRule="auto"/>
        <w:ind w:left="720" w:hanging="720"/>
        <w:contextualSpacing/>
        <w:jc w:val="both"/>
        <w:rPr>
          <w:bCs/>
          <w:color w:val="1A1A1A"/>
          <w:sz w:val="25"/>
          <w:szCs w:val="25"/>
          <w:shd w:val="clear" w:color="auto" w:fill="FFFFFF"/>
        </w:rPr>
      </w:pPr>
      <w:r w:rsidRPr="000B45F2">
        <w:rPr>
          <w:bCs/>
          <w:color w:val="1A1A1A"/>
          <w:sz w:val="25"/>
          <w:szCs w:val="25"/>
          <w:shd w:val="clear" w:color="auto" w:fill="FFFFFF"/>
        </w:rPr>
        <w:t>Scanlon, Thomas. (2003) </w:t>
      </w:r>
      <w:r w:rsidRPr="000B45F2">
        <w:rPr>
          <w:rStyle w:val="Emphasis"/>
          <w:bCs/>
          <w:color w:val="1A1A1A"/>
          <w:sz w:val="25"/>
          <w:szCs w:val="25"/>
          <w:shd w:val="clear" w:color="auto" w:fill="FFFFFF"/>
        </w:rPr>
        <w:t>The Difficulty of Tolerance</w:t>
      </w:r>
      <w:r w:rsidRPr="000B45F2">
        <w:rPr>
          <w:bCs/>
          <w:color w:val="1A1A1A"/>
          <w:sz w:val="25"/>
          <w:szCs w:val="25"/>
          <w:shd w:val="clear" w:color="auto" w:fill="FFFFFF"/>
        </w:rPr>
        <w:t>. Cambridge University Press.</w:t>
      </w:r>
    </w:p>
    <w:p w14:paraId="1A33545B" w14:textId="77733D0D" w:rsidR="00E47567" w:rsidRPr="000B45F2" w:rsidRDefault="00E47567" w:rsidP="00880ACB">
      <w:pPr>
        <w:spacing w:after="0" w:line="240" w:lineRule="auto"/>
        <w:ind w:left="720" w:hanging="720"/>
        <w:contextualSpacing/>
        <w:jc w:val="both"/>
        <w:rPr>
          <w:bCs/>
        </w:rPr>
      </w:pPr>
      <w:r w:rsidRPr="000B45F2">
        <w:rPr>
          <w:bCs/>
          <w:color w:val="1A1A1A"/>
          <w:sz w:val="25"/>
          <w:szCs w:val="25"/>
          <w:shd w:val="clear" w:color="auto" w:fill="FFFFFF"/>
        </w:rPr>
        <w:t>Sen, A. (1982) “Rights and Agency.” </w:t>
      </w:r>
      <w:r w:rsidRPr="000B45F2">
        <w:rPr>
          <w:rStyle w:val="Emphasis"/>
          <w:bCs/>
          <w:color w:val="1A1A1A"/>
          <w:sz w:val="25"/>
          <w:szCs w:val="25"/>
          <w:shd w:val="clear" w:color="auto" w:fill="FFFFFF"/>
        </w:rPr>
        <w:t>Philosophy and Public Affairs</w:t>
      </w:r>
      <w:r w:rsidRPr="000B45F2">
        <w:rPr>
          <w:bCs/>
          <w:color w:val="1A1A1A"/>
          <w:sz w:val="25"/>
          <w:szCs w:val="25"/>
          <w:shd w:val="clear" w:color="auto" w:fill="FFFFFF"/>
        </w:rPr>
        <w:t>, 11: 3–39.</w:t>
      </w:r>
    </w:p>
    <w:p w14:paraId="1FCABD10" w14:textId="4736BE67" w:rsidR="001C3BF0" w:rsidRPr="000B45F2" w:rsidRDefault="001C3BF0" w:rsidP="00880ACB">
      <w:pPr>
        <w:spacing w:after="0" w:line="240" w:lineRule="auto"/>
        <w:ind w:left="720" w:hanging="720"/>
        <w:contextualSpacing/>
        <w:jc w:val="both"/>
        <w:rPr>
          <w:bCs/>
        </w:rPr>
      </w:pPr>
      <w:r w:rsidRPr="000B45F2">
        <w:rPr>
          <w:bCs/>
        </w:rPr>
        <w:t xml:space="preserve">Shapiro, Tamar. (2011) “Foregrounding Desire: A Defense of Kant’s Incorporation Thesis. </w:t>
      </w:r>
      <w:r w:rsidRPr="000B45F2">
        <w:rPr>
          <w:bCs/>
          <w:i/>
          <w:iCs/>
        </w:rPr>
        <w:t xml:space="preserve">The Journal of Ethics. </w:t>
      </w:r>
      <w:r w:rsidRPr="000B45F2">
        <w:rPr>
          <w:bCs/>
        </w:rPr>
        <w:t>14 (147): 147-167.</w:t>
      </w:r>
    </w:p>
    <w:p w14:paraId="64C4B856" w14:textId="1DBC14DF" w:rsidR="002E666D" w:rsidRDefault="002E666D" w:rsidP="00880ACB">
      <w:pPr>
        <w:spacing w:after="0" w:line="240" w:lineRule="auto"/>
        <w:ind w:left="720" w:hanging="720"/>
        <w:contextualSpacing/>
        <w:jc w:val="both"/>
        <w:rPr>
          <w:bCs/>
        </w:rPr>
      </w:pPr>
      <w:r w:rsidRPr="000B45F2">
        <w:rPr>
          <w:bCs/>
        </w:rPr>
        <w:t xml:space="preserve">Snedegar, Justin. (2016) “Reasons, Oughts, and Requirements.” In </w:t>
      </w:r>
      <w:r w:rsidRPr="000B45F2">
        <w:rPr>
          <w:bCs/>
          <w:i/>
          <w:iCs/>
        </w:rPr>
        <w:t xml:space="preserve">Oxford Studies in Metaethics Volume 11 </w:t>
      </w:r>
      <w:r w:rsidRPr="000B45F2">
        <w:rPr>
          <w:bCs/>
        </w:rPr>
        <w:t>edited by Russ Shafer-Landau. 115-181. Oxford University Press</w:t>
      </w:r>
    </w:p>
    <w:p w14:paraId="45382AE7" w14:textId="53796D47" w:rsidR="007E30A4" w:rsidRPr="000B45F2" w:rsidRDefault="007E30A4" w:rsidP="00880ACB">
      <w:pPr>
        <w:spacing w:after="0" w:line="240" w:lineRule="auto"/>
        <w:ind w:left="720" w:hanging="720"/>
        <w:contextualSpacing/>
        <w:jc w:val="both"/>
        <w:rPr>
          <w:bCs/>
        </w:rPr>
      </w:pPr>
      <w:r w:rsidRPr="000B45F2">
        <w:rPr>
          <w:bCs/>
        </w:rPr>
        <w:t xml:space="preserve">Titelbaum, Michael. (2019) “Reasons without Reasons For.” In </w:t>
      </w:r>
      <w:r w:rsidRPr="000B45F2">
        <w:rPr>
          <w:bCs/>
          <w:i/>
          <w:iCs/>
        </w:rPr>
        <w:t>Oxford Studies in Metaethics 14,</w:t>
      </w:r>
      <w:r w:rsidRPr="000B45F2">
        <w:rPr>
          <w:bCs/>
        </w:rPr>
        <w:t xml:space="preserve"> edited by Russ Schafer Landau. Oxford University Press.</w:t>
      </w:r>
    </w:p>
    <w:p w14:paraId="06B37DEA" w14:textId="4A5F961D" w:rsidR="00F765D1" w:rsidRPr="000B45F2" w:rsidRDefault="00F765D1" w:rsidP="00880ACB">
      <w:pPr>
        <w:spacing w:after="0" w:line="240" w:lineRule="auto"/>
        <w:ind w:left="720" w:hanging="720"/>
        <w:contextualSpacing/>
        <w:jc w:val="both"/>
        <w:rPr>
          <w:bCs/>
        </w:rPr>
      </w:pPr>
      <w:r w:rsidRPr="000B45F2">
        <w:rPr>
          <w:bCs/>
        </w:rPr>
        <w:t>Tucker, Chris (</w:t>
      </w:r>
      <w:r w:rsidR="001F14CD">
        <w:rPr>
          <w:bCs/>
        </w:rPr>
        <w:t>draft</w:t>
      </w:r>
      <w:r w:rsidRPr="000B45F2">
        <w:rPr>
          <w:bCs/>
        </w:rPr>
        <w:t xml:space="preserve"> presented at 15</w:t>
      </w:r>
      <w:r w:rsidRPr="000B45F2">
        <w:rPr>
          <w:bCs/>
          <w:vertAlign w:val="superscript"/>
        </w:rPr>
        <w:t>th</w:t>
      </w:r>
      <w:r w:rsidRPr="000B45F2">
        <w:rPr>
          <w:bCs/>
        </w:rPr>
        <w:t xml:space="preserve"> Madison Metaethics Conference) “Weighing Reasons Against”</w:t>
      </w:r>
    </w:p>
    <w:p w14:paraId="0453BAFF" w14:textId="43B1CCC7" w:rsidR="00386155" w:rsidRPr="000B45F2" w:rsidRDefault="00386155" w:rsidP="00880ACB">
      <w:pPr>
        <w:spacing w:after="0" w:line="240" w:lineRule="auto"/>
        <w:ind w:left="720" w:hanging="720"/>
        <w:contextualSpacing/>
        <w:jc w:val="both"/>
        <w:rPr>
          <w:bCs/>
        </w:rPr>
      </w:pPr>
      <w:r w:rsidRPr="000B45F2">
        <w:rPr>
          <w:bCs/>
        </w:rPr>
        <w:t>Wenar, Leif. (2020) “Rights.”</w:t>
      </w:r>
      <w:r w:rsidRPr="000B45F2">
        <w:rPr>
          <w:bCs/>
          <w:i/>
          <w:iCs/>
        </w:rPr>
        <w:t xml:space="preserve"> The Stanford Encyclopedia of Philosophy</w:t>
      </w:r>
      <w:r w:rsidRPr="000B45F2">
        <w:rPr>
          <w:bCs/>
        </w:rPr>
        <w:t>.</w:t>
      </w:r>
    </w:p>
    <w:p w14:paraId="1709B481" w14:textId="7CFFD243" w:rsidR="001729D7" w:rsidRPr="000B45F2" w:rsidRDefault="001729D7" w:rsidP="00880ACB">
      <w:pPr>
        <w:spacing w:after="0" w:line="240" w:lineRule="auto"/>
        <w:ind w:left="720" w:hanging="720"/>
        <w:contextualSpacing/>
        <w:jc w:val="both"/>
        <w:rPr>
          <w:bCs/>
        </w:rPr>
      </w:pPr>
      <w:r w:rsidRPr="000B45F2">
        <w:rPr>
          <w:bCs/>
        </w:rPr>
        <w:lastRenderedPageBreak/>
        <w:t xml:space="preserve">Worsnip, Alex.  (2018) “Eliminating Prudential Reasons.”  In </w:t>
      </w:r>
      <w:r w:rsidRPr="000B45F2">
        <w:rPr>
          <w:bCs/>
          <w:i/>
          <w:iCs/>
        </w:rPr>
        <w:t xml:space="preserve">Oxford Studies in Normative Ethics </w:t>
      </w:r>
      <w:r w:rsidRPr="000B45F2">
        <w:rPr>
          <w:bCs/>
        </w:rPr>
        <w:t>edited by Mark Timmons. Oxford University Press.</w:t>
      </w:r>
    </w:p>
    <w:sectPr w:rsidR="001729D7" w:rsidRPr="000B45F2" w:rsidSect="007547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C125" w14:textId="77777777" w:rsidR="00C5731F" w:rsidRDefault="00C5731F" w:rsidP="00BD027C">
      <w:pPr>
        <w:spacing w:after="0" w:line="240" w:lineRule="auto"/>
      </w:pPr>
      <w:r>
        <w:separator/>
      </w:r>
    </w:p>
  </w:endnote>
  <w:endnote w:type="continuationSeparator" w:id="0">
    <w:p w14:paraId="59A899C3" w14:textId="77777777" w:rsidR="00C5731F" w:rsidRDefault="00C5731F" w:rsidP="00BD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562926"/>
      <w:docPartObj>
        <w:docPartGallery w:val="Page Numbers (Bottom of Page)"/>
        <w:docPartUnique/>
      </w:docPartObj>
    </w:sdtPr>
    <w:sdtEndPr>
      <w:rPr>
        <w:noProof/>
      </w:rPr>
    </w:sdtEndPr>
    <w:sdtContent>
      <w:p w14:paraId="5D1B2A36" w14:textId="345A3EE2" w:rsidR="005059C5" w:rsidRDefault="005059C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C3245B4" w14:textId="77777777" w:rsidR="005059C5" w:rsidRDefault="00505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73AF" w14:textId="77777777" w:rsidR="00C5731F" w:rsidRDefault="00C5731F" w:rsidP="00BD027C">
      <w:pPr>
        <w:spacing w:after="0" w:line="240" w:lineRule="auto"/>
      </w:pPr>
      <w:r>
        <w:separator/>
      </w:r>
    </w:p>
  </w:footnote>
  <w:footnote w:type="continuationSeparator" w:id="0">
    <w:p w14:paraId="6DF5EF7D" w14:textId="77777777" w:rsidR="00C5731F" w:rsidRDefault="00C5731F" w:rsidP="00BD027C">
      <w:pPr>
        <w:spacing w:after="0" w:line="240" w:lineRule="auto"/>
      </w:pPr>
      <w:r>
        <w:continuationSeparator/>
      </w:r>
    </w:p>
  </w:footnote>
  <w:footnote w:id="1">
    <w:p w14:paraId="06953828" w14:textId="36E58F09" w:rsidR="00262156" w:rsidRDefault="00262156" w:rsidP="00262156">
      <w:pPr>
        <w:pStyle w:val="FootnoteText"/>
      </w:pPr>
      <w:r>
        <w:rPr>
          <w:rStyle w:val="FootnoteReference"/>
        </w:rPr>
        <w:footnoteRef/>
      </w:r>
      <w:r w:rsidR="00543EA9">
        <w:rPr>
          <w:lang w:val="en-GB" w:eastAsia="en-GB"/>
        </w:rPr>
        <w:t>See Robertson (2008) for discussion and defense. Also see Lord and Maguire (2016) for a series of papers that discuss the relationship between reasons, their weights, and deontic statuses.</w:t>
      </w:r>
      <w:r w:rsidR="004C39F2">
        <w:rPr>
          <w:lang w:val="en-GB" w:eastAsia="en-GB"/>
        </w:rPr>
        <w:t xml:space="preserve"> For worries about the weight-ought connection (and weighing reasons accounts of practical reasoning), see Titelbaum (2019).</w:t>
      </w:r>
    </w:p>
  </w:footnote>
  <w:footnote w:id="2">
    <w:p w14:paraId="398F912E" w14:textId="7F10A87E" w:rsidR="00262156" w:rsidRPr="00262156" w:rsidRDefault="00262156" w:rsidP="00262156">
      <w:pPr>
        <w:pStyle w:val="FootnoteText"/>
        <w:rPr>
          <w:lang w:val="en-GB" w:eastAsia="en-GB"/>
        </w:rPr>
      </w:pPr>
      <w:r>
        <w:rPr>
          <w:rStyle w:val="FootnoteReference"/>
        </w:rPr>
        <w:footnoteRef/>
      </w:r>
      <w:r>
        <w:t xml:space="preserve"> </w:t>
      </w:r>
      <w:r>
        <w:rPr>
          <w:lang w:val="en-GB" w:eastAsia="en-GB"/>
        </w:rPr>
        <w:t xml:space="preserve">A </w:t>
      </w:r>
      <w:r w:rsidR="00E579EB">
        <w:rPr>
          <w:lang w:val="en-GB" w:eastAsia="en-GB"/>
        </w:rPr>
        <w:t xml:space="preserve">more </w:t>
      </w:r>
      <w:r>
        <w:rPr>
          <w:lang w:val="en-GB" w:eastAsia="en-GB"/>
        </w:rPr>
        <w:t xml:space="preserve">familiar way to restate the connection is that what we ought to do or what it is obligatory for us to do is determined by what action(s) we have most reason/weightiest reasons to do. However, proponents of commendatory reasons contest that there are reasons without deontic weight. As a result, I </w:t>
      </w:r>
      <w:r w:rsidR="006D245A">
        <w:rPr>
          <w:lang w:val="en-GB" w:eastAsia="en-GB"/>
        </w:rPr>
        <w:t>often</w:t>
      </w:r>
      <w:r w:rsidR="0045233A">
        <w:rPr>
          <w:lang w:val="en-GB" w:eastAsia="en-GB"/>
        </w:rPr>
        <w:t xml:space="preserve"> use the</w:t>
      </w:r>
      <w:r>
        <w:rPr>
          <w:lang w:val="en-GB" w:eastAsia="en-GB"/>
        </w:rPr>
        <w:t xml:space="preserve"> less elegant term “deontic weight” in what follows. </w:t>
      </w:r>
    </w:p>
  </w:footnote>
  <w:footnote w:id="3">
    <w:p w14:paraId="2868DC8A" w14:textId="248701A3" w:rsidR="005059C5" w:rsidRDefault="005059C5" w:rsidP="004D1BCD">
      <w:pPr>
        <w:pStyle w:val="FootnoteText"/>
      </w:pPr>
      <w:r>
        <w:rPr>
          <w:rStyle w:val="FootnoteReference"/>
        </w:rPr>
        <w:footnoteRef/>
      </w:r>
      <w:r>
        <w:t xml:space="preserve"> </w:t>
      </w:r>
      <w:r w:rsidR="0028743E">
        <w:t xml:space="preserve">A reviewer noted that I </w:t>
      </w:r>
      <w:r w:rsidR="00090DF8">
        <w:t>sometimes use</w:t>
      </w:r>
      <w:r w:rsidR="0028743E">
        <w:t xml:space="preserve"> </w:t>
      </w:r>
      <w:r>
        <w:t>“ought” as the dual for “permissible”. However, this is a disputed point</w:t>
      </w:r>
      <w:r w:rsidR="0028743E">
        <w:t xml:space="preserve">. Snedegar (2016), for example, takes </w:t>
      </w:r>
      <w:r>
        <w:t xml:space="preserve">“must” or “required” </w:t>
      </w:r>
      <w:r w:rsidR="0028743E">
        <w:t xml:space="preserve">as </w:t>
      </w:r>
      <w:r>
        <w:t>the dual for permissible instead of “ought”.</w:t>
      </w:r>
      <w:r w:rsidR="00543EA9">
        <w:t xml:space="preserve"> </w:t>
      </w:r>
      <w:r>
        <w:t xml:space="preserve">To accommodate this point, simply replace all uses of “ought” with </w:t>
      </w:r>
      <w:r w:rsidR="000B7079">
        <w:t xml:space="preserve">“obligatory, </w:t>
      </w:r>
      <w:r>
        <w:t>“required” or “must”.</w:t>
      </w:r>
    </w:p>
  </w:footnote>
  <w:footnote w:id="4">
    <w:p w14:paraId="24696F88" w14:textId="77777777" w:rsidR="00567247" w:rsidRPr="00107C17" w:rsidRDefault="00567247" w:rsidP="00567247">
      <w:pPr>
        <w:pStyle w:val="FootnoteText"/>
      </w:pPr>
      <w:r>
        <w:rPr>
          <w:rStyle w:val="FootnoteReference"/>
        </w:rPr>
        <w:footnoteRef/>
      </w:r>
      <w:r>
        <w:t xml:space="preserve"> In chapter 6 of Kagan (1989) considers and rejects what he calls the “self-constraint argument” on which agents can waive deontically weighty constraints against harming themselves. Dancy (1993, 214) considers justifying personal sacrifices by ignoring or discounting certain values. Finally, Worsnip (2018) argues against the claim that there are prudential reasons but nonetheless thinks there are aim-based reasons that are generated by our commitments and projects. Though my strategy is more general and tries to apply to a variety of cases, my strategy for accommodating </w:t>
      </w:r>
      <w:r w:rsidRPr="00220D4E">
        <w:t>My Arm</w:t>
      </w:r>
      <w:r>
        <w:rPr>
          <w:b/>
          <w:bCs/>
        </w:rPr>
        <w:t xml:space="preserve"> </w:t>
      </w:r>
      <w:r>
        <w:t xml:space="preserve">actually resembles Kagan and Dancy’s proposals for justifying supererogation. </w:t>
      </w:r>
    </w:p>
  </w:footnote>
  <w:footnote w:id="5">
    <w:p w14:paraId="6250DE8C" w14:textId="4535350E" w:rsidR="005059C5" w:rsidRDefault="005059C5">
      <w:pPr>
        <w:pStyle w:val="FootnoteText"/>
      </w:pPr>
      <w:r>
        <w:rPr>
          <w:rStyle w:val="FootnoteReference"/>
        </w:rPr>
        <w:footnoteRef/>
      </w:r>
      <w:r>
        <w:t xml:space="preserve"> For these strategies, see Gert (2004) and Dancy (</w:t>
      </w:r>
      <w:r w:rsidR="006A3183">
        <w:t>1993</w:t>
      </w:r>
      <w:r>
        <w:t xml:space="preserve">). </w:t>
      </w:r>
      <w:r w:rsidR="00B3716E">
        <w:t>Also refer to</w:t>
      </w:r>
      <w:r>
        <w:t xml:space="preserve"> Little an</w:t>
      </w:r>
      <w:r w:rsidR="004975D1">
        <w:t>d</w:t>
      </w:r>
      <w:r>
        <w:t xml:space="preserve"> McNamara’s working paper “When Reasons Run Out” and Tucker’s “Weighing Reason Against” which were both represented at the 15th Madison Metaethics Workshop.</w:t>
      </w:r>
    </w:p>
  </w:footnote>
  <w:footnote w:id="6">
    <w:p w14:paraId="11A2EAFD" w14:textId="05FC9629" w:rsidR="005059C5" w:rsidRDefault="005059C5">
      <w:pPr>
        <w:pStyle w:val="FootnoteText"/>
      </w:pPr>
      <w:r>
        <w:rPr>
          <w:rStyle w:val="FootnoteReference"/>
        </w:rPr>
        <w:footnoteRef/>
      </w:r>
      <w:r>
        <w:t xml:space="preserve"> This is only meant as a gloss on Kant’s transcendental idealism. For careful discussion on the matter see Allais (2015).</w:t>
      </w:r>
    </w:p>
  </w:footnote>
  <w:footnote w:id="7">
    <w:p w14:paraId="22EF7319" w14:textId="2F1052A9" w:rsidR="005059C5" w:rsidRDefault="005059C5" w:rsidP="008D5071">
      <w:pPr>
        <w:pStyle w:val="FootnoteText"/>
      </w:pPr>
      <w:r>
        <w:rPr>
          <w:rStyle w:val="FootnoteReference"/>
        </w:rPr>
        <w:footnoteRef/>
      </w:r>
      <w:r w:rsidR="00DC6112">
        <w:t xml:space="preserve"> Granted, Kant did not develop his practical philosophy this way. Nonetheless, I think the general historical motivation stands. </w:t>
      </w:r>
      <w:r>
        <w:t>Chang (2013, 179) makes a similar point by comparing “given reasons” as walls that limit our ability to create will-based reasons.</w:t>
      </w:r>
    </w:p>
  </w:footnote>
  <w:footnote w:id="8">
    <w:p w14:paraId="4A0E1739" w14:textId="77777777" w:rsidR="008E22E0" w:rsidRDefault="008E22E0" w:rsidP="008E22E0">
      <w:pPr>
        <w:pStyle w:val="FootnoteText"/>
      </w:pPr>
      <w:r>
        <w:rPr>
          <w:rStyle w:val="FootnoteReference"/>
        </w:rPr>
        <w:footnoteRef/>
      </w:r>
      <w:r>
        <w:t xml:space="preserve"> Of course, Kant develops his own practical parallel by emphasizing that agents are noumenally free and capable of autonomy rather than merely passive. Contemporary work on Kant’s “Incorporation Thesis” reflects the idea that action involves the endorsement of inclinations under a maxim. See Shapiro (2011).</w:t>
      </w:r>
    </w:p>
  </w:footnote>
  <w:footnote w:id="9">
    <w:p w14:paraId="7CAB2441" w14:textId="0C9743EF" w:rsidR="001217EF" w:rsidRDefault="001217EF">
      <w:pPr>
        <w:pStyle w:val="FootnoteText"/>
      </w:pPr>
      <w:r>
        <w:rPr>
          <w:rStyle w:val="FootnoteReference"/>
        </w:rPr>
        <w:footnoteRef/>
      </w:r>
      <w:r>
        <w:t xml:space="preserve"> </w:t>
      </w:r>
      <w:r w:rsidR="00F74964">
        <w:t xml:space="preserve">A reviewer </w:t>
      </w:r>
      <w:r>
        <w:t xml:space="preserve">has pointed out that </w:t>
      </w:r>
      <w:r>
        <w:rPr>
          <w:bCs/>
        </w:rPr>
        <w:t xml:space="preserve">Mũnoz (forthcoming in </w:t>
      </w:r>
      <w:r w:rsidRPr="00FF1610">
        <w:rPr>
          <w:i/>
          <w:iCs/>
        </w:rPr>
        <w:t>Noûs</w:t>
      </w:r>
      <w:r>
        <w:rPr>
          <w:bCs/>
        </w:rPr>
        <w:t>) thinks of his view</w:t>
      </w:r>
      <w:r w:rsidR="00F74964">
        <w:rPr>
          <w:bCs/>
        </w:rPr>
        <w:t>, which I think is a version of the Deontic Weight Strategy,</w:t>
      </w:r>
      <w:r>
        <w:rPr>
          <w:bCs/>
        </w:rPr>
        <w:t xml:space="preserve"> as a way of explaining the distinction between the justifying and requiring strength of reasons and that a forthcoming co-authored paper of his endorses the distinction. </w:t>
      </w:r>
    </w:p>
  </w:footnote>
  <w:footnote w:id="10">
    <w:p w14:paraId="2FE5E03E" w14:textId="0083BCF7" w:rsidR="00E7640D" w:rsidRDefault="00E7640D">
      <w:pPr>
        <w:pStyle w:val="FootnoteText"/>
      </w:pPr>
      <w:r>
        <w:rPr>
          <w:rStyle w:val="FootnoteReference"/>
        </w:rPr>
        <w:footnoteRef/>
      </w:r>
      <w:r>
        <w:t xml:space="preserve"> Granted, you might think that we have to posit further distinctions to capture common</w:t>
      </w:r>
      <w:r w:rsidR="005407A1">
        <w:t xml:space="preserve"> </w:t>
      </w:r>
      <w:r>
        <w:t>sense morality.</w:t>
      </w:r>
      <w:r w:rsidR="0014433F">
        <w:t xml:space="preserve"> For example, you might think that we have distinguish reasons weight </w:t>
      </w:r>
      <w:r w:rsidR="0014433F">
        <w:rPr>
          <w:i/>
          <w:iCs/>
        </w:rPr>
        <w:t xml:space="preserve">for </w:t>
      </w:r>
      <w:r w:rsidR="0014433F">
        <w:t xml:space="preserve">an action and reasons weight </w:t>
      </w:r>
      <w:r w:rsidR="0014433F">
        <w:rPr>
          <w:i/>
          <w:iCs/>
        </w:rPr>
        <w:t xml:space="preserve">against </w:t>
      </w:r>
      <w:r w:rsidR="0014433F">
        <w:t>an action.</w:t>
      </w:r>
      <w:r>
        <w:t xml:space="preserve"> I</w:t>
      </w:r>
      <w:r w:rsidR="0014433F">
        <w:t xml:space="preserve"> discus in the next section</w:t>
      </w:r>
      <w:r>
        <w:t>.</w:t>
      </w:r>
    </w:p>
  </w:footnote>
  <w:footnote w:id="11">
    <w:p w14:paraId="6A2D32CA" w14:textId="0AC02AB7" w:rsidR="002B0D87" w:rsidRDefault="002B0D87">
      <w:pPr>
        <w:pStyle w:val="FootnoteText"/>
      </w:pPr>
      <w:r>
        <w:rPr>
          <w:rStyle w:val="FootnoteReference"/>
        </w:rPr>
        <w:footnoteRef/>
      </w:r>
      <w:r>
        <w:t xml:space="preserve"> </w:t>
      </w:r>
      <w:r w:rsidR="00BE130B">
        <w:t xml:space="preserve">I suspect that our intuitions about the justifying/requiring strength of reasons distinction breaks down once we start considering different choice contexts. One and the same reason for an option may have justifying or requiring strength depending on what other options are considered. </w:t>
      </w:r>
    </w:p>
  </w:footnote>
  <w:footnote w:id="12">
    <w:p w14:paraId="56FF0D8D" w14:textId="16C34BA4" w:rsidR="005059C5" w:rsidRDefault="005059C5">
      <w:pPr>
        <w:pStyle w:val="FootnoteText"/>
      </w:pPr>
      <w:r>
        <w:rPr>
          <w:rStyle w:val="FootnoteReference"/>
        </w:rPr>
        <w:footnoteRef/>
      </w:r>
      <w:r>
        <w:t xml:space="preserve"> If you do not like this particular case, feel free to make up a prudence case where agents are permitted to choose either option even if the options are on a par or one option is even quite a bit better.</w:t>
      </w:r>
    </w:p>
  </w:footnote>
  <w:footnote w:id="13">
    <w:p w14:paraId="041AC361" w14:textId="3981E74A" w:rsidR="005059C5" w:rsidRDefault="005059C5">
      <w:pPr>
        <w:pStyle w:val="FootnoteText"/>
      </w:pPr>
      <w:r>
        <w:rPr>
          <w:rStyle w:val="FootnoteReference"/>
        </w:rPr>
        <w:footnoteRef/>
      </w:r>
      <w:r>
        <w:t xml:space="preserve"> As we shall see, there are generally restrictions on how much deontic weight we can shift in any given situation. </w:t>
      </w:r>
    </w:p>
  </w:footnote>
  <w:footnote w:id="14">
    <w:p w14:paraId="4ED6AA2B" w14:textId="0972E57B" w:rsidR="005F33A7" w:rsidRDefault="005F33A7">
      <w:pPr>
        <w:pStyle w:val="FootnoteText"/>
      </w:pPr>
      <w:r>
        <w:rPr>
          <w:rStyle w:val="FootnoteReference"/>
        </w:rPr>
        <w:footnoteRef/>
      </w:r>
      <w:r>
        <w:t xml:space="preserve"> This is akin to the self-constraint argument discussed by chapter 6 of Kagan (1989) and the discounting strategy discussed by Dancy (</w:t>
      </w:r>
      <w:r w:rsidR="00015C06">
        <w:t>1993</w:t>
      </w:r>
      <w:r>
        <w:t>, 214).</w:t>
      </w:r>
    </w:p>
  </w:footnote>
  <w:footnote w:id="15">
    <w:p w14:paraId="2759A1EF" w14:textId="2CCE249A" w:rsidR="005059C5" w:rsidRDefault="005059C5">
      <w:pPr>
        <w:pStyle w:val="FootnoteText"/>
      </w:pPr>
      <w:r>
        <w:rPr>
          <w:rStyle w:val="FootnoteReference"/>
        </w:rPr>
        <w:footnoteRef/>
      </w:r>
      <w:r>
        <w:t xml:space="preserve"> Granted, there are many motivations </w:t>
      </w:r>
      <w:r w:rsidR="00637C25">
        <w:t>other motivations</w:t>
      </w:r>
      <w:r>
        <w:t xml:space="preserve"> for common</w:t>
      </w:r>
      <w:r w:rsidR="00D542C6">
        <w:t xml:space="preserve"> </w:t>
      </w:r>
      <w:r>
        <w:t>sense morality. Here, I streamline the discussion and follow chapters 8 and 9 of Kagan’s (1989) discussion of the positive and the negative argument for common</w:t>
      </w:r>
      <w:r w:rsidR="00D542C6">
        <w:t xml:space="preserve"> </w:t>
      </w:r>
      <w:r>
        <w:t>sense morality.</w:t>
      </w:r>
    </w:p>
  </w:footnote>
  <w:footnote w:id="16">
    <w:p w14:paraId="35B3F538" w14:textId="09A904F2" w:rsidR="005059C5" w:rsidRDefault="005059C5">
      <w:pPr>
        <w:pStyle w:val="FootnoteText"/>
      </w:pPr>
      <w:r>
        <w:rPr>
          <w:rStyle w:val="FootnoteReference"/>
        </w:rPr>
        <w:footnoteRef/>
      </w:r>
      <w:r>
        <w:t xml:space="preserve"> See chapter 9 of Kagan (1989) in which he discusses the positive argument (i.e.</w:t>
      </w:r>
      <w:r w:rsidR="00C66A80">
        <w:t>,</w:t>
      </w:r>
      <w:r>
        <w:t xml:space="preserve"> that there are agent-relative reasons grounded in the value of the subjective viewpoint that justifies constraints and options). </w:t>
      </w:r>
    </w:p>
  </w:footnote>
  <w:footnote w:id="17">
    <w:p w14:paraId="24BBFBEA" w14:textId="7CE6B9A5" w:rsidR="005059C5" w:rsidRDefault="005059C5">
      <w:pPr>
        <w:pStyle w:val="FootnoteText"/>
      </w:pPr>
      <w:r>
        <w:rPr>
          <w:rStyle w:val="FootnoteReference"/>
        </w:rPr>
        <w:footnoteRef/>
      </w:r>
      <w:r>
        <w:t xml:space="preserve"> If it does, then that will depend on subsidiary premises about the value of keeping one’s promises or commitments to oneself in a particular case. </w:t>
      </w:r>
      <w:r w:rsidR="0023235D">
        <w:t>For a similar approach, see Worsni</w:t>
      </w:r>
      <w:r w:rsidR="00244D85">
        <w:t>p’s</w:t>
      </w:r>
      <w:r w:rsidR="0023235D">
        <w:t xml:space="preserve"> (2018)</w:t>
      </w:r>
      <w:r w:rsidR="00244D85">
        <w:t xml:space="preserve"> defense of aim-based reasons.</w:t>
      </w:r>
    </w:p>
  </w:footnote>
  <w:footnote w:id="18">
    <w:p w14:paraId="202BECE9" w14:textId="52C4B3B5" w:rsidR="005059C5" w:rsidRDefault="005059C5">
      <w:pPr>
        <w:pStyle w:val="FootnoteText"/>
      </w:pPr>
      <w:r>
        <w:rPr>
          <w:rStyle w:val="FootnoteReference"/>
        </w:rPr>
        <w:footnoteRef/>
      </w:r>
      <w:r>
        <w:t xml:space="preserve"> For an example of a normative powers view, see Owens (2012).</w:t>
      </w:r>
    </w:p>
  </w:footnote>
  <w:footnote w:id="19">
    <w:p w14:paraId="24437BF2" w14:textId="3F11382B" w:rsidR="005059C5" w:rsidRDefault="005059C5">
      <w:pPr>
        <w:pStyle w:val="FootnoteText"/>
      </w:pPr>
      <w:r>
        <w:rPr>
          <w:rStyle w:val="FootnoteReference"/>
        </w:rPr>
        <w:footnoteRef/>
      </w:r>
      <w:r>
        <w:t xml:space="preserve"> This is not to deny that commitments to important life-long projects can have significant deontic weight. </w:t>
      </w:r>
    </w:p>
  </w:footnote>
  <w:footnote w:id="20">
    <w:p w14:paraId="187E4D9E" w14:textId="083DE81A" w:rsidR="005059C5" w:rsidRPr="0000773A" w:rsidRDefault="005059C5">
      <w:pPr>
        <w:pStyle w:val="FootnoteText"/>
      </w:pPr>
      <w:r>
        <w:rPr>
          <w:rStyle w:val="FootnoteReference"/>
        </w:rPr>
        <w:footnoteRef/>
      </w:r>
      <w:r>
        <w:t xml:space="preserve"> In fairness, </w:t>
      </w:r>
      <w:r>
        <w:rPr>
          <w:b/>
          <w:bCs/>
        </w:rPr>
        <w:t xml:space="preserve">Exercise or Couch </w:t>
      </w:r>
      <w:r>
        <w:t>is potentially a parity case. However, we can construct other cases involving prudence that are not parity case</w:t>
      </w:r>
      <w:r w:rsidR="00BB1CAE">
        <w:t>s</w:t>
      </w:r>
      <w:r>
        <w:t xml:space="preserve"> that nonetheless involve permissions.</w:t>
      </w:r>
    </w:p>
  </w:footnote>
  <w:footnote w:id="21">
    <w:p w14:paraId="5D17995A" w14:textId="69A70192" w:rsidR="005059C5" w:rsidRDefault="005059C5">
      <w:pPr>
        <w:pStyle w:val="FootnoteText"/>
      </w:pPr>
      <w:r>
        <w:rPr>
          <w:rStyle w:val="FootnoteReference"/>
        </w:rPr>
        <w:footnoteRef/>
      </w:r>
      <w:r>
        <w:t xml:space="preserve"> See Chang (2013, 182) for a specific example </w:t>
      </w:r>
      <w:r w:rsidR="009A216B">
        <w:t>of creating will-based reasons and p. 179 for a discussion of given reasons.</w:t>
      </w:r>
    </w:p>
  </w:footnote>
  <w:footnote w:id="22">
    <w:p w14:paraId="30C77155" w14:textId="4D9D32E1" w:rsidR="005059C5" w:rsidRPr="00140CA5" w:rsidRDefault="005059C5">
      <w:pPr>
        <w:pStyle w:val="FootnoteText"/>
        <w:rPr>
          <w:b/>
          <w:bCs/>
        </w:rPr>
      </w:pPr>
      <w:r>
        <w:rPr>
          <w:rStyle w:val="FootnoteReference"/>
        </w:rPr>
        <w:footnoteRef/>
      </w:r>
      <w:r>
        <w:t xml:space="preserve"> Markovits (2014) does defend a theory of reasons on which reasons are grounded in what we value. However, on her view, we are all required, on pain of irrationality, to accept each other as sources of value which requires us to act in ways that respect each other’s humanity. It is unclear what the upshot of this view is for the cases we are considering.</w:t>
      </w:r>
    </w:p>
  </w:footnote>
  <w:footnote w:id="23">
    <w:p w14:paraId="1489ACD1" w14:textId="6D5249F4" w:rsidR="005059C5" w:rsidRDefault="005059C5">
      <w:pPr>
        <w:pStyle w:val="FootnoteText"/>
      </w:pPr>
      <w:r>
        <w:rPr>
          <w:rStyle w:val="FootnoteReference"/>
        </w:rPr>
        <w:footnoteRef/>
      </w:r>
      <w:r>
        <w:t xml:space="preserve"> For example, you might think that desires are perceptions of reasons or the good that are not subject to our control.</w:t>
      </w:r>
    </w:p>
  </w:footnote>
  <w:footnote w:id="24">
    <w:p w14:paraId="0798CCC9" w14:textId="70538DD4" w:rsidR="005059C5" w:rsidRDefault="005059C5">
      <w:pPr>
        <w:pStyle w:val="FootnoteText"/>
      </w:pPr>
      <w:r>
        <w:rPr>
          <w:rStyle w:val="FootnoteReference"/>
        </w:rPr>
        <w:footnoteRef/>
      </w:r>
      <w:r>
        <w:t xml:space="preserve"> Perhaps it does on Finlay’s (2014) means-ends theory of normative language and pragmatic account of moral categoricity.</w:t>
      </w:r>
    </w:p>
  </w:footnote>
  <w:footnote w:id="25">
    <w:p w14:paraId="5E8B1EA1" w14:textId="00D337C4" w:rsidR="005059C5" w:rsidRDefault="005059C5">
      <w:pPr>
        <w:pStyle w:val="FootnoteText"/>
      </w:pPr>
      <w:r>
        <w:rPr>
          <w:rStyle w:val="FootnoteReference"/>
        </w:rPr>
        <w:footnoteRef/>
      </w:r>
      <w:r>
        <w:t xml:space="preserve"> Though see Manne’s (2016) democratized Humeanism on which the desires of others can also generate reasons for us to act. </w:t>
      </w:r>
    </w:p>
  </w:footnote>
  <w:footnote w:id="26">
    <w:p w14:paraId="05928D94" w14:textId="10CFD901" w:rsidR="00AD5558" w:rsidRDefault="00AD5558">
      <w:pPr>
        <w:pStyle w:val="FootnoteText"/>
      </w:pPr>
      <w:r>
        <w:rPr>
          <w:rStyle w:val="FootnoteReference"/>
        </w:rPr>
        <w:footnoteRef/>
      </w:r>
      <w:r>
        <w:t xml:space="preserve"> This parallels Kagan’s (1989) response to the Self-Constraint Argument in chapter 6.</w:t>
      </w:r>
    </w:p>
  </w:footnote>
  <w:footnote w:id="27">
    <w:p w14:paraId="57283CB7" w14:textId="213B469A" w:rsidR="005059C5" w:rsidRDefault="005059C5">
      <w:pPr>
        <w:pStyle w:val="FootnoteText"/>
      </w:pPr>
      <w:r>
        <w:rPr>
          <w:rStyle w:val="FootnoteReference"/>
        </w:rPr>
        <w:footnoteRef/>
      </w:r>
      <w:r>
        <w:t xml:space="preserve"> A related concern is whether agents must be aware that they have rights in order to use them according to the deontic weight strategy. If so (since you seemingly cannot appeal to something you do not know about), then an unfortunate result is that those patients who are ignorant of their rights and are perhaps most vulnerable to exploitation in the first place will lack the one normative tool that they need to defend themselves.</w:t>
      </w:r>
    </w:p>
  </w:footnote>
  <w:footnote w:id="28">
    <w:p w14:paraId="65FAF164" w14:textId="262161A0" w:rsidR="005059C5" w:rsidRDefault="005059C5">
      <w:pPr>
        <w:pStyle w:val="FootnoteText"/>
      </w:pPr>
      <w:r>
        <w:rPr>
          <w:rStyle w:val="FootnoteReference"/>
        </w:rPr>
        <w:footnoteRef/>
      </w:r>
      <w:r>
        <w:t xml:space="preserve"> </w:t>
      </w:r>
      <w:r w:rsidR="003C5C38">
        <w:t xml:space="preserve">Though </w:t>
      </w:r>
      <w:r>
        <w:t>M</w:t>
      </w:r>
      <w:r w:rsidR="00056AD8">
        <w:rPr>
          <w:bCs/>
        </w:rPr>
        <w:t>ũ</w:t>
      </w:r>
      <w:r>
        <w:t>noz (forthcoming</w:t>
      </w:r>
      <w:r w:rsidR="00A6688C">
        <w:t xml:space="preserve"> in </w:t>
      </w:r>
      <w:r w:rsidR="00A6688C">
        <w:rPr>
          <w:i/>
          <w:iCs/>
        </w:rPr>
        <w:t>Philosophy and Phenomenological Research,</w:t>
      </w:r>
      <w:r>
        <w:t xml:space="preserve"> 19)</w:t>
      </w:r>
      <w:r w:rsidR="00A1683B">
        <w:t xml:space="preserve"> </w:t>
      </w:r>
      <w:r w:rsidR="003C5C38">
        <w:t>does think that rights can outweigh reasons when he claims that</w:t>
      </w:r>
      <w:r w:rsidR="00125520">
        <w:t xml:space="preserve"> </w:t>
      </w:r>
      <w:r>
        <w:t>“</w:t>
      </w:r>
      <w:r w:rsidR="00125520">
        <w:t>r</w:t>
      </w:r>
      <w:r>
        <w:t>ights against oneself can override the demand to be optimal, since they carry weight in moral defense.”</w:t>
      </w:r>
    </w:p>
  </w:footnote>
  <w:footnote w:id="29">
    <w:p w14:paraId="44A16FEE" w14:textId="1AA31D8E" w:rsidR="00392D9C" w:rsidRDefault="00392D9C">
      <w:pPr>
        <w:pStyle w:val="FootnoteText"/>
      </w:pPr>
      <w:r>
        <w:rPr>
          <w:rStyle w:val="FootnoteReference"/>
        </w:rPr>
        <w:footnoteRef/>
      </w:r>
      <w:r>
        <w:t xml:space="preserve"> Some may doubt this intuition but here </w:t>
      </w:r>
      <w:r w:rsidR="00332D27">
        <w:t>is a low stakes case to motivate it</w:t>
      </w:r>
      <w:r>
        <w:t>. Even if I can reasonably suspect that my friend wouldn’t mind if I took her power tool for my project, it still seems wrong for me to just take it without asking her permission to use it</w:t>
      </w:r>
      <w:r w:rsidR="00493C50">
        <w:t xml:space="preserve"> (i.e.</w:t>
      </w:r>
      <w:r w:rsidR="001217EF">
        <w:t>,</w:t>
      </w:r>
      <w:r w:rsidR="00493C50">
        <w:t xml:space="preserve"> an explicit transference or waiving of her property right).</w:t>
      </w:r>
    </w:p>
  </w:footnote>
  <w:footnote w:id="30">
    <w:p w14:paraId="624EE76E" w14:textId="55B3D883" w:rsidR="0060118F" w:rsidRDefault="0060118F">
      <w:pPr>
        <w:pStyle w:val="FootnoteText"/>
      </w:pPr>
      <w:r>
        <w:rPr>
          <w:rStyle w:val="FootnoteReference"/>
        </w:rPr>
        <w:footnoteRef/>
      </w:r>
      <w:r>
        <w:t xml:space="preserve"> </w:t>
      </w:r>
      <w:r w:rsidR="00332D27">
        <w:t>I grant that perhaps i</w:t>
      </w:r>
      <w:r>
        <w:t>t is precisely because Your Arm is such a high stakes situation that I would almost always suspect that you would assert your right</w:t>
      </w:r>
      <w:r w:rsidR="00332D27">
        <w:t xml:space="preserve"> to bodily integrity</w:t>
      </w:r>
      <w:r>
        <w:t>. That is why the restriction</w:t>
      </w:r>
      <w:r w:rsidR="00332D27">
        <w:t xml:space="preserve"> could be</w:t>
      </w:r>
      <w:r>
        <w:t xml:space="preserve"> grounded in the </w:t>
      </w:r>
      <w:r w:rsidRPr="00332D27">
        <w:rPr>
          <w:i/>
          <w:iCs/>
        </w:rPr>
        <w:t>expected</w:t>
      </w:r>
      <w:r>
        <w:t xml:space="preserve"> assertion of rights.</w:t>
      </w:r>
    </w:p>
  </w:footnote>
  <w:footnote w:id="31">
    <w:p w14:paraId="2AAEF785" w14:textId="7F6E856F" w:rsidR="005059C5" w:rsidRDefault="005059C5" w:rsidP="00FE5E6A">
      <w:pPr>
        <w:pStyle w:val="FootnoteText"/>
      </w:pPr>
      <w:r>
        <w:rPr>
          <w:rStyle w:val="FootnoteReference"/>
        </w:rPr>
        <w:footnoteRef/>
      </w:r>
      <w:r>
        <w:t xml:space="preserve"> It is worth noting that appealing to any strategy in which I can immediately add deontic weight to an option will face the problem of rationalization.</w:t>
      </w:r>
    </w:p>
  </w:footnote>
  <w:footnote w:id="32">
    <w:p w14:paraId="3866E837" w14:textId="2D1440E6" w:rsidR="005059C5" w:rsidRPr="00D07A7D" w:rsidRDefault="005059C5">
      <w:pPr>
        <w:pStyle w:val="FootnoteText"/>
      </w:pPr>
      <w:r>
        <w:rPr>
          <w:rStyle w:val="FootnoteReference"/>
        </w:rPr>
        <w:footnoteRef/>
      </w:r>
      <w:r>
        <w:t xml:space="preserve"> See the section of M</w:t>
      </w:r>
      <w:r w:rsidR="00056AD8">
        <w:rPr>
          <w:bCs/>
        </w:rPr>
        <w:t>ũ</w:t>
      </w:r>
      <w:r>
        <w:t xml:space="preserve">noz (forthcoming) entitled “Required to Waive” for </w:t>
      </w:r>
      <w:r w:rsidR="00B12B43">
        <w:t>this</w:t>
      </w:r>
      <w:r>
        <w:t xml:space="preserve"> meta-right</w:t>
      </w:r>
      <w:r w:rsidR="00B12B43">
        <w:t>s response.</w:t>
      </w:r>
    </w:p>
  </w:footnote>
  <w:footnote w:id="33">
    <w:p w14:paraId="1B8C75D2" w14:textId="07AD22BF" w:rsidR="005059C5" w:rsidRDefault="005059C5">
      <w:pPr>
        <w:pStyle w:val="FootnoteText"/>
      </w:pPr>
      <w:r>
        <w:rPr>
          <w:rStyle w:val="FootnoteReference"/>
        </w:rPr>
        <w:footnoteRef/>
      </w:r>
      <w:r>
        <w:t xml:space="preserve"> See Mill (1859, 20) and Dworkin (1984) for discussion of rights as trumps.</w:t>
      </w:r>
    </w:p>
  </w:footnote>
  <w:footnote w:id="34">
    <w:p w14:paraId="510EE59D" w14:textId="366C7ED8" w:rsidR="00C964DA" w:rsidRDefault="00C964DA">
      <w:pPr>
        <w:pStyle w:val="FootnoteText"/>
      </w:pPr>
      <w:r>
        <w:rPr>
          <w:rStyle w:val="FootnoteReference"/>
        </w:rPr>
        <w:footnoteRef/>
      </w:r>
      <w:r>
        <w:t xml:space="preserve"> For a response to the worries posed against an instrumental approach to rights, see Pettit (1988). </w:t>
      </w:r>
    </w:p>
  </w:footnote>
  <w:footnote w:id="35">
    <w:p w14:paraId="5671FA4A" w14:textId="77777777" w:rsidR="00D92846" w:rsidRDefault="00D92846" w:rsidP="00D92846">
      <w:pPr>
        <w:pStyle w:val="FootnoteText"/>
      </w:pPr>
      <w:r>
        <w:rPr>
          <w:rStyle w:val="FootnoteReference"/>
        </w:rPr>
        <w:footnoteRef/>
      </w:r>
      <w:r>
        <w:t xml:space="preserve"> See Sen (1982) for an attempt at providing a hybrid approach (both status-based and instrumentalist) and Scanlon (2003) for a contractualist account of rights.</w:t>
      </w:r>
    </w:p>
  </w:footnote>
  <w:footnote w:id="36">
    <w:p w14:paraId="48A0A1E3" w14:textId="77777777" w:rsidR="005059C5" w:rsidRDefault="005059C5" w:rsidP="00FB4B2D">
      <w:pPr>
        <w:pStyle w:val="FootnoteText"/>
      </w:pPr>
      <w:r>
        <w:rPr>
          <w:rStyle w:val="FootnoteReference"/>
        </w:rPr>
        <w:footnoteRef/>
      </w:r>
      <w:r>
        <w:t xml:space="preserve"> See Irwin’s (2011) historical overview of Western moral philosophy for an account of these alternatives.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A76"/>
    <w:multiLevelType w:val="hybridMultilevel"/>
    <w:tmpl w:val="936A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8FD"/>
    <w:multiLevelType w:val="hybridMultilevel"/>
    <w:tmpl w:val="8F32F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5395"/>
    <w:multiLevelType w:val="hybridMultilevel"/>
    <w:tmpl w:val="B23AE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A6C0D"/>
    <w:multiLevelType w:val="hybridMultilevel"/>
    <w:tmpl w:val="AE662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D437D"/>
    <w:multiLevelType w:val="multilevel"/>
    <w:tmpl w:val="C530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B2EEA"/>
    <w:multiLevelType w:val="hybridMultilevel"/>
    <w:tmpl w:val="9FA85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66010"/>
    <w:multiLevelType w:val="hybridMultilevel"/>
    <w:tmpl w:val="2EF83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21DA5"/>
    <w:multiLevelType w:val="hybridMultilevel"/>
    <w:tmpl w:val="37182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069C3"/>
    <w:multiLevelType w:val="hybridMultilevel"/>
    <w:tmpl w:val="05969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D2F"/>
    <w:multiLevelType w:val="hybridMultilevel"/>
    <w:tmpl w:val="E3C2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14AE5"/>
    <w:multiLevelType w:val="hybridMultilevel"/>
    <w:tmpl w:val="D21AA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028545">
    <w:abstractNumId w:val="6"/>
  </w:num>
  <w:num w:numId="2" w16cid:durableId="365453688">
    <w:abstractNumId w:val="2"/>
  </w:num>
  <w:num w:numId="3" w16cid:durableId="959579543">
    <w:abstractNumId w:val="7"/>
  </w:num>
  <w:num w:numId="4" w16cid:durableId="1732197154">
    <w:abstractNumId w:val="10"/>
  </w:num>
  <w:num w:numId="5" w16cid:durableId="51394780">
    <w:abstractNumId w:val="9"/>
  </w:num>
  <w:num w:numId="6" w16cid:durableId="727071404">
    <w:abstractNumId w:val="8"/>
  </w:num>
  <w:num w:numId="7" w16cid:durableId="682557633">
    <w:abstractNumId w:val="3"/>
  </w:num>
  <w:num w:numId="8" w16cid:durableId="1708333352">
    <w:abstractNumId w:val="0"/>
  </w:num>
  <w:num w:numId="9" w16cid:durableId="1642925402">
    <w:abstractNumId w:val="1"/>
  </w:num>
  <w:num w:numId="10" w16cid:durableId="1277055520">
    <w:abstractNumId w:val="5"/>
  </w:num>
  <w:num w:numId="11" w16cid:durableId="517737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DC"/>
    <w:rsid w:val="0000050E"/>
    <w:rsid w:val="00000BCC"/>
    <w:rsid w:val="00000E7F"/>
    <w:rsid w:val="00001936"/>
    <w:rsid w:val="00001C4C"/>
    <w:rsid w:val="00003415"/>
    <w:rsid w:val="00003610"/>
    <w:rsid w:val="0000423C"/>
    <w:rsid w:val="00005F2B"/>
    <w:rsid w:val="00006E3F"/>
    <w:rsid w:val="0000762C"/>
    <w:rsid w:val="0000773A"/>
    <w:rsid w:val="00010FEC"/>
    <w:rsid w:val="000129D8"/>
    <w:rsid w:val="0001579C"/>
    <w:rsid w:val="00015C06"/>
    <w:rsid w:val="00015C48"/>
    <w:rsid w:val="00016BFC"/>
    <w:rsid w:val="0001717B"/>
    <w:rsid w:val="000174AA"/>
    <w:rsid w:val="00020400"/>
    <w:rsid w:val="00020A1C"/>
    <w:rsid w:val="00024ACE"/>
    <w:rsid w:val="00026293"/>
    <w:rsid w:val="000268DF"/>
    <w:rsid w:val="00030A11"/>
    <w:rsid w:val="00033057"/>
    <w:rsid w:val="000373FB"/>
    <w:rsid w:val="00037547"/>
    <w:rsid w:val="00041EC9"/>
    <w:rsid w:val="00043795"/>
    <w:rsid w:val="00044E99"/>
    <w:rsid w:val="00047108"/>
    <w:rsid w:val="000473FF"/>
    <w:rsid w:val="0005053F"/>
    <w:rsid w:val="000516A4"/>
    <w:rsid w:val="00051AFE"/>
    <w:rsid w:val="00052434"/>
    <w:rsid w:val="00053809"/>
    <w:rsid w:val="00055736"/>
    <w:rsid w:val="00056AD8"/>
    <w:rsid w:val="00060426"/>
    <w:rsid w:val="0006069B"/>
    <w:rsid w:val="00060E10"/>
    <w:rsid w:val="00061930"/>
    <w:rsid w:val="00061E6A"/>
    <w:rsid w:val="00063807"/>
    <w:rsid w:val="0006395F"/>
    <w:rsid w:val="00063EB1"/>
    <w:rsid w:val="00064795"/>
    <w:rsid w:val="00064DE3"/>
    <w:rsid w:val="00064FB5"/>
    <w:rsid w:val="0006568A"/>
    <w:rsid w:val="00065A19"/>
    <w:rsid w:val="00065B1D"/>
    <w:rsid w:val="000674B2"/>
    <w:rsid w:val="00070225"/>
    <w:rsid w:val="00071080"/>
    <w:rsid w:val="000713A1"/>
    <w:rsid w:val="0007198E"/>
    <w:rsid w:val="0007262D"/>
    <w:rsid w:val="000748DF"/>
    <w:rsid w:val="00075DB2"/>
    <w:rsid w:val="00077A22"/>
    <w:rsid w:val="00080E32"/>
    <w:rsid w:val="000817B6"/>
    <w:rsid w:val="00082607"/>
    <w:rsid w:val="000843D0"/>
    <w:rsid w:val="00085C64"/>
    <w:rsid w:val="00085CA6"/>
    <w:rsid w:val="0008771F"/>
    <w:rsid w:val="00087AF9"/>
    <w:rsid w:val="00090DF8"/>
    <w:rsid w:val="00090E14"/>
    <w:rsid w:val="00094C4C"/>
    <w:rsid w:val="00094E6B"/>
    <w:rsid w:val="000955CB"/>
    <w:rsid w:val="00095ABA"/>
    <w:rsid w:val="000A007E"/>
    <w:rsid w:val="000A1AA9"/>
    <w:rsid w:val="000A1B76"/>
    <w:rsid w:val="000A373F"/>
    <w:rsid w:val="000A4BD7"/>
    <w:rsid w:val="000A66B4"/>
    <w:rsid w:val="000B0AD5"/>
    <w:rsid w:val="000B0C3F"/>
    <w:rsid w:val="000B45F2"/>
    <w:rsid w:val="000B54FB"/>
    <w:rsid w:val="000B586D"/>
    <w:rsid w:val="000B614E"/>
    <w:rsid w:val="000B7079"/>
    <w:rsid w:val="000C040C"/>
    <w:rsid w:val="000C2A16"/>
    <w:rsid w:val="000C320F"/>
    <w:rsid w:val="000C3B1E"/>
    <w:rsid w:val="000C4FA0"/>
    <w:rsid w:val="000C6FDC"/>
    <w:rsid w:val="000D032F"/>
    <w:rsid w:val="000D0B5B"/>
    <w:rsid w:val="000D0F1B"/>
    <w:rsid w:val="000D2792"/>
    <w:rsid w:val="000D30A4"/>
    <w:rsid w:val="000D61DF"/>
    <w:rsid w:val="000D7EB9"/>
    <w:rsid w:val="000E078A"/>
    <w:rsid w:val="000E09B2"/>
    <w:rsid w:val="000E12C8"/>
    <w:rsid w:val="000E1A11"/>
    <w:rsid w:val="000E30F4"/>
    <w:rsid w:val="000E3EF7"/>
    <w:rsid w:val="000E48E5"/>
    <w:rsid w:val="000E6800"/>
    <w:rsid w:val="000F4EF7"/>
    <w:rsid w:val="000F5257"/>
    <w:rsid w:val="000F6678"/>
    <w:rsid w:val="000F6CA5"/>
    <w:rsid w:val="001010C4"/>
    <w:rsid w:val="00101540"/>
    <w:rsid w:val="00103135"/>
    <w:rsid w:val="001055B5"/>
    <w:rsid w:val="00106E4F"/>
    <w:rsid w:val="001074F6"/>
    <w:rsid w:val="00107C17"/>
    <w:rsid w:val="00107C5B"/>
    <w:rsid w:val="00111782"/>
    <w:rsid w:val="001118E9"/>
    <w:rsid w:val="001127E8"/>
    <w:rsid w:val="0011409B"/>
    <w:rsid w:val="00115AB2"/>
    <w:rsid w:val="001167FA"/>
    <w:rsid w:val="001171F0"/>
    <w:rsid w:val="00120840"/>
    <w:rsid w:val="00121403"/>
    <w:rsid w:val="001217EF"/>
    <w:rsid w:val="001238ED"/>
    <w:rsid w:val="001242D6"/>
    <w:rsid w:val="00125520"/>
    <w:rsid w:val="00127D44"/>
    <w:rsid w:val="00130D29"/>
    <w:rsid w:val="0013127F"/>
    <w:rsid w:val="001313E5"/>
    <w:rsid w:val="00131686"/>
    <w:rsid w:val="00135505"/>
    <w:rsid w:val="0013564A"/>
    <w:rsid w:val="00137801"/>
    <w:rsid w:val="00137CEF"/>
    <w:rsid w:val="00140255"/>
    <w:rsid w:val="00140CA5"/>
    <w:rsid w:val="001410C4"/>
    <w:rsid w:val="00141DA9"/>
    <w:rsid w:val="00142B25"/>
    <w:rsid w:val="00143867"/>
    <w:rsid w:val="0014429C"/>
    <w:rsid w:val="0014433F"/>
    <w:rsid w:val="001444BF"/>
    <w:rsid w:val="00144979"/>
    <w:rsid w:val="0014550A"/>
    <w:rsid w:val="001468CC"/>
    <w:rsid w:val="001468D3"/>
    <w:rsid w:val="00152075"/>
    <w:rsid w:val="00153296"/>
    <w:rsid w:val="001534E4"/>
    <w:rsid w:val="00153A10"/>
    <w:rsid w:val="00153BBC"/>
    <w:rsid w:val="001543F3"/>
    <w:rsid w:val="00155B7F"/>
    <w:rsid w:val="00155CE9"/>
    <w:rsid w:val="00157935"/>
    <w:rsid w:val="00157C6A"/>
    <w:rsid w:val="00160689"/>
    <w:rsid w:val="001616FE"/>
    <w:rsid w:val="0016590C"/>
    <w:rsid w:val="001673D1"/>
    <w:rsid w:val="00170F55"/>
    <w:rsid w:val="00171CDF"/>
    <w:rsid w:val="00171E82"/>
    <w:rsid w:val="00172455"/>
    <w:rsid w:val="001729D7"/>
    <w:rsid w:val="00172AD5"/>
    <w:rsid w:val="001741C0"/>
    <w:rsid w:val="0017445A"/>
    <w:rsid w:val="001750F7"/>
    <w:rsid w:val="00175AE7"/>
    <w:rsid w:val="00175B81"/>
    <w:rsid w:val="00176773"/>
    <w:rsid w:val="001773EF"/>
    <w:rsid w:val="001801D1"/>
    <w:rsid w:val="00183E96"/>
    <w:rsid w:val="001840D7"/>
    <w:rsid w:val="00184CB3"/>
    <w:rsid w:val="00184E22"/>
    <w:rsid w:val="00184E86"/>
    <w:rsid w:val="00186D37"/>
    <w:rsid w:val="00195FD5"/>
    <w:rsid w:val="001A0700"/>
    <w:rsid w:val="001A1E77"/>
    <w:rsid w:val="001A2820"/>
    <w:rsid w:val="001A3F0F"/>
    <w:rsid w:val="001A5BD7"/>
    <w:rsid w:val="001A5DEE"/>
    <w:rsid w:val="001A6D20"/>
    <w:rsid w:val="001B0457"/>
    <w:rsid w:val="001B1BC7"/>
    <w:rsid w:val="001B26E0"/>
    <w:rsid w:val="001B2C49"/>
    <w:rsid w:val="001B3036"/>
    <w:rsid w:val="001B4CE6"/>
    <w:rsid w:val="001B5AD3"/>
    <w:rsid w:val="001B5E64"/>
    <w:rsid w:val="001B674B"/>
    <w:rsid w:val="001B7A82"/>
    <w:rsid w:val="001C3BF0"/>
    <w:rsid w:val="001D1392"/>
    <w:rsid w:val="001D38A7"/>
    <w:rsid w:val="001D3C10"/>
    <w:rsid w:val="001D4E0A"/>
    <w:rsid w:val="001D755D"/>
    <w:rsid w:val="001E1939"/>
    <w:rsid w:val="001E41C0"/>
    <w:rsid w:val="001E4A61"/>
    <w:rsid w:val="001E7C02"/>
    <w:rsid w:val="001F1214"/>
    <w:rsid w:val="001F14CD"/>
    <w:rsid w:val="001F1EC5"/>
    <w:rsid w:val="001F46FD"/>
    <w:rsid w:val="001F6DB2"/>
    <w:rsid w:val="001F7DB8"/>
    <w:rsid w:val="00201BF6"/>
    <w:rsid w:val="002033FB"/>
    <w:rsid w:val="0020420B"/>
    <w:rsid w:val="00204DC1"/>
    <w:rsid w:val="002058C9"/>
    <w:rsid w:val="0020634F"/>
    <w:rsid w:val="0020663C"/>
    <w:rsid w:val="00206B3C"/>
    <w:rsid w:val="00210929"/>
    <w:rsid w:val="0021135F"/>
    <w:rsid w:val="00211671"/>
    <w:rsid w:val="00211CD5"/>
    <w:rsid w:val="002125A0"/>
    <w:rsid w:val="0021324C"/>
    <w:rsid w:val="00220D4E"/>
    <w:rsid w:val="00221951"/>
    <w:rsid w:val="00222BE9"/>
    <w:rsid w:val="00224117"/>
    <w:rsid w:val="0022643D"/>
    <w:rsid w:val="002264AB"/>
    <w:rsid w:val="0023235D"/>
    <w:rsid w:val="00233143"/>
    <w:rsid w:val="00234B97"/>
    <w:rsid w:val="002350FC"/>
    <w:rsid w:val="00237737"/>
    <w:rsid w:val="00237E9C"/>
    <w:rsid w:val="002418A7"/>
    <w:rsid w:val="002447B2"/>
    <w:rsid w:val="00244D85"/>
    <w:rsid w:val="00246A8F"/>
    <w:rsid w:val="00246CFD"/>
    <w:rsid w:val="00247532"/>
    <w:rsid w:val="002525D6"/>
    <w:rsid w:val="0025268C"/>
    <w:rsid w:val="002544CB"/>
    <w:rsid w:val="002550FD"/>
    <w:rsid w:val="0025519F"/>
    <w:rsid w:val="002574BF"/>
    <w:rsid w:val="00260367"/>
    <w:rsid w:val="002609C3"/>
    <w:rsid w:val="00260AB7"/>
    <w:rsid w:val="00261E06"/>
    <w:rsid w:val="00261E75"/>
    <w:rsid w:val="00262156"/>
    <w:rsid w:val="00262285"/>
    <w:rsid w:val="002625E5"/>
    <w:rsid w:val="00264A98"/>
    <w:rsid w:val="0026574E"/>
    <w:rsid w:val="0026612E"/>
    <w:rsid w:val="002727AF"/>
    <w:rsid w:val="00274786"/>
    <w:rsid w:val="0027528C"/>
    <w:rsid w:val="00276722"/>
    <w:rsid w:val="0027694B"/>
    <w:rsid w:val="002860A0"/>
    <w:rsid w:val="0028698F"/>
    <w:rsid w:val="0028743E"/>
    <w:rsid w:val="002922CA"/>
    <w:rsid w:val="0029255F"/>
    <w:rsid w:val="00292711"/>
    <w:rsid w:val="002956C3"/>
    <w:rsid w:val="00295EE7"/>
    <w:rsid w:val="0029624D"/>
    <w:rsid w:val="0029702F"/>
    <w:rsid w:val="002A083D"/>
    <w:rsid w:val="002A0E91"/>
    <w:rsid w:val="002A2818"/>
    <w:rsid w:val="002A4676"/>
    <w:rsid w:val="002A4EA7"/>
    <w:rsid w:val="002A6597"/>
    <w:rsid w:val="002B0CF8"/>
    <w:rsid w:val="002B0D87"/>
    <w:rsid w:val="002B1172"/>
    <w:rsid w:val="002B193D"/>
    <w:rsid w:val="002B4388"/>
    <w:rsid w:val="002B45E1"/>
    <w:rsid w:val="002B5E55"/>
    <w:rsid w:val="002C1257"/>
    <w:rsid w:val="002C1282"/>
    <w:rsid w:val="002C1B4F"/>
    <w:rsid w:val="002C256B"/>
    <w:rsid w:val="002C2EBD"/>
    <w:rsid w:val="002C41DA"/>
    <w:rsid w:val="002C4C8F"/>
    <w:rsid w:val="002C544B"/>
    <w:rsid w:val="002C5605"/>
    <w:rsid w:val="002C5C0B"/>
    <w:rsid w:val="002C7681"/>
    <w:rsid w:val="002D02A0"/>
    <w:rsid w:val="002D0AB4"/>
    <w:rsid w:val="002D11BB"/>
    <w:rsid w:val="002D5326"/>
    <w:rsid w:val="002E0828"/>
    <w:rsid w:val="002E15FD"/>
    <w:rsid w:val="002E1B9C"/>
    <w:rsid w:val="002E3546"/>
    <w:rsid w:val="002E54DF"/>
    <w:rsid w:val="002E6344"/>
    <w:rsid w:val="002E666D"/>
    <w:rsid w:val="002E68E1"/>
    <w:rsid w:val="002E69C2"/>
    <w:rsid w:val="002E707D"/>
    <w:rsid w:val="002E7BE1"/>
    <w:rsid w:val="002E7EAF"/>
    <w:rsid w:val="002F0502"/>
    <w:rsid w:val="002F11F6"/>
    <w:rsid w:val="002F1D48"/>
    <w:rsid w:val="002F1EAF"/>
    <w:rsid w:val="002F4488"/>
    <w:rsid w:val="002F7575"/>
    <w:rsid w:val="002F7BCD"/>
    <w:rsid w:val="0030018B"/>
    <w:rsid w:val="0030262B"/>
    <w:rsid w:val="00302FEF"/>
    <w:rsid w:val="003033EC"/>
    <w:rsid w:val="00306A53"/>
    <w:rsid w:val="00307289"/>
    <w:rsid w:val="003073E3"/>
    <w:rsid w:val="00307E7F"/>
    <w:rsid w:val="003116BD"/>
    <w:rsid w:val="003117BA"/>
    <w:rsid w:val="00313078"/>
    <w:rsid w:val="003163FA"/>
    <w:rsid w:val="0031706C"/>
    <w:rsid w:val="003172C7"/>
    <w:rsid w:val="0031771C"/>
    <w:rsid w:val="003202A4"/>
    <w:rsid w:val="003209EF"/>
    <w:rsid w:val="0032159A"/>
    <w:rsid w:val="003216A1"/>
    <w:rsid w:val="00321BBE"/>
    <w:rsid w:val="00322103"/>
    <w:rsid w:val="00323D58"/>
    <w:rsid w:val="003269D6"/>
    <w:rsid w:val="00327D27"/>
    <w:rsid w:val="00327D52"/>
    <w:rsid w:val="00331385"/>
    <w:rsid w:val="00332D27"/>
    <w:rsid w:val="00332E36"/>
    <w:rsid w:val="0033411A"/>
    <w:rsid w:val="00334643"/>
    <w:rsid w:val="00334983"/>
    <w:rsid w:val="00335EB2"/>
    <w:rsid w:val="003363A6"/>
    <w:rsid w:val="003374D1"/>
    <w:rsid w:val="003376CC"/>
    <w:rsid w:val="003404C0"/>
    <w:rsid w:val="00341812"/>
    <w:rsid w:val="00342FC7"/>
    <w:rsid w:val="003435A4"/>
    <w:rsid w:val="00343D02"/>
    <w:rsid w:val="003440EC"/>
    <w:rsid w:val="00344168"/>
    <w:rsid w:val="00345030"/>
    <w:rsid w:val="0034519B"/>
    <w:rsid w:val="003462E7"/>
    <w:rsid w:val="0035026C"/>
    <w:rsid w:val="003507E0"/>
    <w:rsid w:val="00350F6A"/>
    <w:rsid w:val="0035103B"/>
    <w:rsid w:val="00351F73"/>
    <w:rsid w:val="00352987"/>
    <w:rsid w:val="00353B2B"/>
    <w:rsid w:val="00353CE2"/>
    <w:rsid w:val="00354A7D"/>
    <w:rsid w:val="00354B0C"/>
    <w:rsid w:val="0035714A"/>
    <w:rsid w:val="003608F3"/>
    <w:rsid w:val="00362545"/>
    <w:rsid w:val="0036316B"/>
    <w:rsid w:val="00365B56"/>
    <w:rsid w:val="00366282"/>
    <w:rsid w:val="00375032"/>
    <w:rsid w:val="00381F94"/>
    <w:rsid w:val="0038221E"/>
    <w:rsid w:val="003832CA"/>
    <w:rsid w:val="00383EA9"/>
    <w:rsid w:val="0038420E"/>
    <w:rsid w:val="00384E38"/>
    <w:rsid w:val="003860E9"/>
    <w:rsid w:val="00386155"/>
    <w:rsid w:val="0038677E"/>
    <w:rsid w:val="00386B9A"/>
    <w:rsid w:val="003873FF"/>
    <w:rsid w:val="00390704"/>
    <w:rsid w:val="00390ADD"/>
    <w:rsid w:val="003914D9"/>
    <w:rsid w:val="00392D9C"/>
    <w:rsid w:val="00394D4F"/>
    <w:rsid w:val="00395FE8"/>
    <w:rsid w:val="00397F62"/>
    <w:rsid w:val="003A0FF0"/>
    <w:rsid w:val="003A45E3"/>
    <w:rsid w:val="003A7482"/>
    <w:rsid w:val="003A7B3C"/>
    <w:rsid w:val="003A7D09"/>
    <w:rsid w:val="003B1727"/>
    <w:rsid w:val="003B2576"/>
    <w:rsid w:val="003B3CEC"/>
    <w:rsid w:val="003B4415"/>
    <w:rsid w:val="003B5142"/>
    <w:rsid w:val="003B60E9"/>
    <w:rsid w:val="003B708D"/>
    <w:rsid w:val="003B791A"/>
    <w:rsid w:val="003C10A5"/>
    <w:rsid w:val="003C2282"/>
    <w:rsid w:val="003C3363"/>
    <w:rsid w:val="003C3DB8"/>
    <w:rsid w:val="003C3F81"/>
    <w:rsid w:val="003C46A7"/>
    <w:rsid w:val="003C53B7"/>
    <w:rsid w:val="003C5C38"/>
    <w:rsid w:val="003C607B"/>
    <w:rsid w:val="003C61F9"/>
    <w:rsid w:val="003D008E"/>
    <w:rsid w:val="003D1FA9"/>
    <w:rsid w:val="003D21DA"/>
    <w:rsid w:val="003D24B6"/>
    <w:rsid w:val="003D2A96"/>
    <w:rsid w:val="003D34FD"/>
    <w:rsid w:val="003D3AE1"/>
    <w:rsid w:val="003D40B8"/>
    <w:rsid w:val="003D4F58"/>
    <w:rsid w:val="003D5F51"/>
    <w:rsid w:val="003D7C91"/>
    <w:rsid w:val="003E113B"/>
    <w:rsid w:val="003E2A93"/>
    <w:rsid w:val="003E32A7"/>
    <w:rsid w:val="003E337C"/>
    <w:rsid w:val="003E3F6F"/>
    <w:rsid w:val="003E4098"/>
    <w:rsid w:val="003E651A"/>
    <w:rsid w:val="003E7EC7"/>
    <w:rsid w:val="003F0D86"/>
    <w:rsid w:val="003F0E89"/>
    <w:rsid w:val="003F232B"/>
    <w:rsid w:val="003F431C"/>
    <w:rsid w:val="00403C99"/>
    <w:rsid w:val="00403D8A"/>
    <w:rsid w:val="004049CE"/>
    <w:rsid w:val="0041045F"/>
    <w:rsid w:val="00410523"/>
    <w:rsid w:val="0041053F"/>
    <w:rsid w:val="00410A0C"/>
    <w:rsid w:val="00410EF0"/>
    <w:rsid w:val="0041284F"/>
    <w:rsid w:val="00412E29"/>
    <w:rsid w:val="0041420F"/>
    <w:rsid w:val="0041444E"/>
    <w:rsid w:val="00415396"/>
    <w:rsid w:val="00416BFC"/>
    <w:rsid w:val="00417940"/>
    <w:rsid w:val="004201A6"/>
    <w:rsid w:val="00424723"/>
    <w:rsid w:val="0042472E"/>
    <w:rsid w:val="0042617D"/>
    <w:rsid w:val="00426B5C"/>
    <w:rsid w:val="00427925"/>
    <w:rsid w:val="0043091B"/>
    <w:rsid w:val="00430DCF"/>
    <w:rsid w:val="0043144A"/>
    <w:rsid w:val="00432490"/>
    <w:rsid w:val="00432900"/>
    <w:rsid w:val="004358EA"/>
    <w:rsid w:val="0043612A"/>
    <w:rsid w:val="00436946"/>
    <w:rsid w:val="00436AD3"/>
    <w:rsid w:val="00437F26"/>
    <w:rsid w:val="00442C1F"/>
    <w:rsid w:val="004435BE"/>
    <w:rsid w:val="00443999"/>
    <w:rsid w:val="00444534"/>
    <w:rsid w:val="00444598"/>
    <w:rsid w:val="00444D85"/>
    <w:rsid w:val="0045233A"/>
    <w:rsid w:val="0045268F"/>
    <w:rsid w:val="0045299F"/>
    <w:rsid w:val="00452EE5"/>
    <w:rsid w:val="004530E1"/>
    <w:rsid w:val="00456680"/>
    <w:rsid w:val="0046082C"/>
    <w:rsid w:val="00460B20"/>
    <w:rsid w:val="00463BF9"/>
    <w:rsid w:val="00465CD4"/>
    <w:rsid w:val="00465FFF"/>
    <w:rsid w:val="00466412"/>
    <w:rsid w:val="00471477"/>
    <w:rsid w:val="004723D1"/>
    <w:rsid w:val="00472F4C"/>
    <w:rsid w:val="00480EBA"/>
    <w:rsid w:val="004820EC"/>
    <w:rsid w:val="004864F4"/>
    <w:rsid w:val="00487368"/>
    <w:rsid w:val="00490AE8"/>
    <w:rsid w:val="00491A64"/>
    <w:rsid w:val="00491C26"/>
    <w:rsid w:val="00491C38"/>
    <w:rsid w:val="00491C74"/>
    <w:rsid w:val="004923DC"/>
    <w:rsid w:val="00493001"/>
    <w:rsid w:val="00493C22"/>
    <w:rsid w:val="00493C50"/>
    <w:rsid w:val="00493DF7"/>
    <w:rsid w:val="00493E6A"/>
    <w:rsid w:val="0049460B"/>
    <w:rsid w:val="004975D1"/>
    <w:rsid w:val="00497AAF"/>
    <w:rsid w:val="004A24B0"/>
    <w:rsid w:val="004A2695"/>
    <w:rsid w:val="004A40F2"/>
    <w:rsid w:val="004A4FD8"/>
    <w:rsid w:val="004A5BFE"/>
    <w:rsid w:val="004A6F6F"/>
    <w:rsid w:val="004A7843"/>
    <w:rsid w:val="004B0B91"/>
    <w:rsid w:val="004B1339"/>
    <w:rsid w:val="004B2795"/>
    <w:rsid w:val="004B34A2"/>
    <w:rsid w:val="004B4A8C"/>
    <w:rsid w:val="004B6BC1"/>
    <w:rsid w:val="004B7803"/>
    <w:rsid w:val="004C0683"/>
    <w:rsid w:val="004C0C64"/>
    <w:rsid w:val="004C1768"/>
    <w:rsid w:val="004C1A4E"/>
    <w:rsid w:val="004C2707"/>
    <w:rsid w:val="004C2ABF"/>
    <w:rsid w:val="004C3551"/>
    <w:rsid w:val="004C39F2"/>
    <w:rsid w:val="004C52B4"/>
    <w:rsid w:val="004C6458"/>
    <w:rsid w:val="004C6665"/>
    <w:rsid w:val="004C7752"/>
    <w:rsid w:val="004D0A9B"/>
    <w:rsid w:val="004D1B27"/>
    <w:rsid w:val="004D1BCD"/>
    <w:rsid w:val="004D29B7"/>
    <w:rsid w:val="004D4D3C"/>
    <w:rsid w:val="004D4FB2"/>
    <w:rsid w:val="004D54C9"/>
    <w:rsid w:val="004D5507"/>
    <w:rsid w:val="004D6901"/>
    <w:rsid w:val="004D7F89"/>
    <w:rsid w:val="004E032C"/>
    <w:rsid w:val="004E0C3F"/>
    <w:rsid w:val="004E1987"/>
    <w:rsid w:val="004E1C88"/>
    <w:rsid w:val="004E1DCB"/>
    <w:rsid w:val="004E51BD"/>
    <w:rsid w:val="004E6919"/>
    <w:rsid w:val="004E700A"/>
    <w:rsid w:val="004F0780"/>
    <w:rsid w:val="004F19F8"/>
    <w:rsid w:val="004F1C4B"/>
    <w:rsid w:val="004F1E3F"/>
    <w:rsid w:val="004F3387"/>
    <w:rsid w:val="004F3426"/>
    <w:rsid w:val="004F4973"/>
    <w:rsid w:val="004F6388"/>
    <w:rsid w:val="004F7F0A"/>
    <w:rsid w:val="00503EAD"/>
    <w:rsid w:val="005059C5"/>
    <w:rsid w:val="0050628B"/>
    <w:rsid w:val="00507C3A"/>
    <w:rsid w:val="00510123"/>
    <w:rsid w:val="00513D0E"/>
    <w:rsid w:val="00513FA9"/>
    <w:rsid w:val="00514812"/>
    <w:rsid w:val="00515FFC"/>
    <w:rsid w:val="00517F2F"/>
    <w:rsid w:val="00520FA9"/>
    <w:rsid w:val="00523D1C"/>
    <w:rsid w:val="00523FD7"/>
    <w:rsid w:val="00526790"/>
    <w:rsid w:val="005307E3"/>
    <w:rsid w:val="005318F3"/>
    <w:rsid w:val="00534BFB"/>
    <w:rsid w:val="00534D3A"/>
    <w:rsid w:val="00535032"/>
    <w:rsid w:val="0053613E"/>
    <w:rsid w:val="005407A1"/>
    <w:rsid w:val="00541D18"/>
    <w:rsid w:val="0054353F"/>
    <w:rsid w:val="0054399B"/>
    <w:rsid w:val="00543EA9"/>
    <w:rsid w:val="00544BA7"/>
    <w:rsid w:val="00544FF1"/>
    <w:rsid w:val="005458FC"/>
    <w:rsid w:val="0054606D"/>
    <w:rsid w:val="00547683"/>
    <w:rsid w:val="0055248C"/>
    <w:rsid w:val="00552987"/>
    <w:rsid w:val="00553A04"/>
    <w:rsid w:val="00554410"/>
    <w:rsid w:val="00563FB7"/>
    <w:rsid w:val="00567247"/>
    <w:rsid w:val="00570AF1"/>
    <w:rsid w:val="00571DAC"/>
    <w:rsid w:val="00572139"/>
    <w:rsid w:val="0057505F"/>
    <w:rsid w:val="005754C2"/>
    <w:rsid w:val="00576170"/>
    <w:rsid w:val="00581D8F"/>
    <w:rsid w:val="00584CDE"/>
    <w:rsid w:val="0058547A"/>
    <w:rsid w:val="00585B16"/>
    <w:rsid w:val="00585D5E"/>
    <w:rsid w:val="005861A4"/>
    <w:rsid w:val="00586D2E"/>
    <w:rsid w:val="0058739F"/>
    <w:rsid w:val="0059003C"/>
    <w:rsid w:val="005903A2"/>
    <w:rsid w:val="00591A86"/>
    <w:rsid w:val="00594EF4"/>
    <w:rsid w:val="00595740"/>
    <w:rsid w:val="0059583A"/>
    <w:rsid w:val="00595EFE"/>
    <w:rsid w:val="0059683E"/>
    <w:rsid w:val="00597D25"/>
    <w:rsid w:val="005A00F7"/>
    <w:rsid w:val="005A1621"/>
    <w:rsid w:val="005A5719"/>
    <w:rsid w:val="005A5C82"/>
    <w:rsid w:val="005A6518"/>
    <w:rsid w:val="005A6F66"/>
    <w:rsid w:val="005A70B6"/>
    <w:rsid w:val="005A78FA"/>
    <w:rsid w:val="005B2ED4"/>
    <w:rsid w:val="005B37C6"/>
    <w:rsid w:val="005B3B8B"/>
    <w:rsid w:val="005B4AF4"/>
    <w:rsid w:val="005B5219"/>
    <w:rsid w:val="005B6D32"/>
    <w:rsid w:val="005C0CA6"/>
    <w:rsid w:val="005C3CD3"/>
    <w:rsid w:val="005C41F3"/>
    <w:rsid w:val="005C6248"/>
    <w:rsid w:val="005C634D"/>
    <w:rsid w:val="005D2109"/>
    <w:rsid w:val="005D2DF4"/>
    <w:rsid w:val="005D37D9"/>
    <w:rsid w:val="005D41F1"/>
    <w:rsid w:val="005D6295"/>
    <w:rsid w:val="005D6691"/>
    <w:rsid w:val="005D7166"/>
    <w:rsid w:val="005D75FE"/>
    <w:rsid w:val="005E1BBF"/>
    <w:rsid w:val="005E1E08"/>
    <w:rsid w:val="005E1E4C"/>
    <w:rsid w:val="005E1EB2"/>
    <w:rsid w:val="005E4327"/>
    <w:rsid w:val="005E457C"/>
    <w:rsid w:val="005E4C4C"/>
    <w:rsid w:val="005E666C"/>
    <w:rsid w:val="005F0514"/>
    <w:rsid w:val="005F2CCD"/>
    <w:rsid w:val="005F3082"/>
    <w:rsid w:val="005F3144"/>
    <w:rsid w:val="005F33A7"/>
    <w:rsid w:val="005F384E"/>
    <w:rsid w:val="005F7D02"/>
    <w:rsid w:val="0060118F"/>
    <w:rsid w:val="0060181A"/>
    <w:rsid w:val="00601AB7"/>
    <w:rsid w:val="00604FDB"/>
    <w:rsid w:val="0060680A"/>
    <w:rsid w:val="006072E6"/>
    <w:rsid w:val="00610B62"/>
    <w:rsid w:val="00611CC6"/>
    <w:rsid w:val="006149A2"/>
    <w:rsid w:val="00617191"/>
    <w:rsid w:val="00621D14"/>
    <w:rsid w:val="006227C0"/>
    <w:rsid w:val="00625677"/>
    <w:rsid w:val="0062649C"/>
    <w:rsid w:val="0062665F"/>
    <w:rsid w:val="00627531"/>
    <w:rsid w:val="00627A3A"/>
    <w:rsid w:val="00627B25"/>
    <w:rsid w:val="00630BF0"/>
    <w:rsid w:val="00631031"/>
    <w:rsid w:val="00631AEA"/>
    <w:rsid w:val="00631F4C"/>
    <w:rsid w:val="00633B07"/>
    <w:rsid w:val="006355CA"/>
    <w:rsid w:val="00635BA7"/>
    <w:rsid w:val="006360B3"/>
    <w:rsid w:val="006360FA"/>
    <w:rsid w:val="00636C47"/>
    <w:rsid w:val="00637C25"/>
    <w:rsid w:val="006403C7"/>
    <w:rsid w:val="0064109F"/>
    <w:rsid w:val="006416C8"/>
    <w:rsid w:val="00641DF5"/>
    <w:rsid w:val="00643054"/>
    <w:rsid w:val="00643065"/>
    <w:rsid w:val="006451CD"/>
    <w:rsid w:val="006457FF"/>
    <w:rsid w:val="00646895"/>
    <w:rsid w:val="006510BF"/>
    <w:rsid w:val="00651E86"/>
    <w:rsid w:val="00652209"/>
    <w:rsid w:val="00652248"/>
    <w:rsid w:val="006527A9"/>
    <w:rsid w:val="00667226"/>
    <w:rsid w:val="0067065E"/>
    <w:rsid w:val="00670904"/>
    <w:rsid w:val="00671041"/>
    <w:rsid w:val="006717E8"/>
    <w:rsid w:val="00674546"/>
    <w:rsid w:val="00676C48"/>
    <w:rsid w:val="006777B0"/>
    <w:rsid w:val="00680052"/>
    <w:rsid w:val="00682D66"/>
    <w:rsid w:val="00686F63"/>
    <w:rsid w:val="00687527"/>
    <w:rsid w:val="006909A1"/>
    <w:rsid w:val="00691183"/>
    <w:rsid w:val="00691234"/>
    <w:rsid w:val="006937B3"/>
    <w:rsid w:val="006945DA"/>
    <w:rsid w:val="00694E1D"/>
    <w:rsid w:val="006957A2"/>
    <w:rsid w:val="0069602D"/>
    <w:rsid w:val="00697400"/>
    <w:rsid w:val="006A3183"/>
    <w:rsid w:val="006A4CCD"/>
    <w:rsid w:val="006A5F8C"/>
    <w:rsid w:val="006B0568"/>
    <w:rsid w:val="006B11A2"/>
    <w:rsid w:val="006B4532"/>
    <w:rsid w:val="006B5B6E"/>
    <w:rsid w:val="006B752F"/>
    <w:rsid w:val="006C0F80"/>
    <w:rsid w:val="006C136E"/>
    <w:rsid w:val="006C314F"/>
    <w:rsid w:val="006C4B5C"/>
    <w:rsid w:val="006D245A"/>
    <w:rsid w:val="006D333F"/>
    <w:rsid w:val="006D5C0B"/>
    <w:rsid w:val="006D6DFD"/>
    <w:rsid w:val="006E184F"/>
    <w:rsid w:val="006E1BA5"/>
    <w:rsid w:val="006E3624"/>
    <w:rsid w:val="006E4B2C"/>
    <w:rsid w:val="006E56F9"/>
    <w:rsid w:val="006E663D"/>
    <w:rsid w:val="006E73AD"/>
    <w:rsid w:val="006F152C"/>
    <w:rsid w:val="006F255A"/>
    <w:rsid w:val="006F2FDA"/>
    <w:rsid w:val="006F3181"/>
    <w:rsid w:val="006F3E9D"/>
    <w:rsid w:val="006F4343"/>
    <w:rsid w:val="006F5A25"/>
    <w:rsid w:val="006F5CEE"/>
    <w:rsid w:val="00700E57"/>
    <w:rsid w:val="0070223D"/>
    <w:rsid w:val="00704654"/>
    <w:rsid w:val="00705777"/>
    <w:rsid w:val="00706F97"/>
    <w:rsid w:val="00707B8E"/>
    <w:rsid w:val="00710225"/>
    <w:rsid w:val="007109F7"/>
    <w:rsid w:val="0071131E"/>
    <w:rsid w:val="00711349"/>
    <w:rsid w:val="00715504"/>
    <w:rsid w:val="0071557E"/>
    <w:rsid w:val="007156E5"/>
    <w:rsid w:val="00717E47"/>
    <w:rsid w:val="0072219F"/>
    <w:rsid w:val="00723FCA"/>
    <w:rsid w:val="0072425F"/>
    <w:rsid w:val="00724C9D"/>
    <w:rsid w:val="00724DD9"/>
    <w:rsid w:val="0072514E"/>
    <w:rsid w:val="007255F6"/>
    <w:rsid w:val="00726B61"/>
    <w:rsid w:val="007271A1"/>
    <w:rsid w:val="00731310"/>
    <w:rsid w:val="00731768"/>
    <w:rsid w:val="007318E2"/>
    <w:rsid w:val="00734BCD"/>
    <w:rsid w:val="00736873"/>
    <w:rsid w:val="0073778A"/>
    <w:rsid w:val="00741242"/>
    <w:rsid w:val="00741771"/>
    <w:rsid w:val="00742317"/>
    <w:rsid w:val="0074436D"/>
    <w:rsid w:val="007454D1"/>
    <w:rsid w:val="0074601F"/>
    <w:rsid w:val="00746BCF"/>
    <w:rsid w:val="00747519"/>
    <w:rsid w:val="00751283"/>
    <w:rsid w:val="0075220D"/>
    <w:rsid w:val="007544C8"/>
    <w:rsid w:val="00754703"/>
    <w:rsid w:val="007578A0"/>
    <w:rsid w:val="00762FC5"/>
    <w:rsid w:val="00763509"/>
    <w:rsid w:val="00765A04"/>
    <w:rsid w:val="00766256"/>
    <w:rsid w:val="00766382"/>
    <w:rsid w:val="00766719"/>
    <w:rsid w:val="007668C0"/>
    <w:rsid w:val="0076732E"/>
    <w:rsid w:val="00771C18"/>
    <w:rsid w:val="00774789"/>
    <w:rsid w:val="0078124D"/>
    <w:rsid w:val="00782ADF"/>
    <w:rsid w:val="007843AF"/>
    <w:rsid w:val="00786883"/>
    <w:rsid w:val="00786ADC"/>
    <w:rsid w:val="00790E19"/>
    <w:rsid w:val="0079106E"/>
    <w:rsid w:val="00793ED9"/>
    <w:rsid w:val="00795E88"/>
    <w:rsid w:val="00797710"/>
    <w:rsid w:val="00797D06"/>
    <w:rsid w:val="007A0A3B"/>
    <w:rsid w:val="007A4A4B"/>
    <w:rsid w:val="007A6FE5"/>
    <w:rsid w:val="007B1A4F"/>
    <w:rsid w:val="007B1B2A"/>
    <w:rsid w:val="007B1E79"/>
    <w:rsid w:val="007B2330"/>
    <w:rsid w:val="007B282C"/>
    <w:rsid w:val="007B2C77"/>
    <w:rsid w:val="007B4575"/>
    <w:rsid w:val="007B66D8"/>
    <w:rsid w:val="007B761A"/>
    <w:rsid w:val="007B79A6"/>
    <w:rsid w:val="007C3AA5"/>
    <w:rsid w:val="007C5503"/>
    <w:rsid w:val="007C5B73"/>
    <w:rsid w:val="007C5C52"/>
    <w:rsid w:val="007C7D17"/>
    <w:rsid w:val="007D0477"/>
    <w:rsid w:val="007D0F8D"/>
    <w:rsid w:val="007D2178"/>
    <w:rsid w:val="007D2967"/>
    <w:rsid w:val="007D2B8A"/>
    <w:rsid w:val="007D2F0B"/>
    <w:rsid w:val="007D3AAC"/>
    <w:rsid w:val="007D6811"/>
    <w:rsid w:val="007E0410"/>
    <w:rsid w:val="007E0D4F"/>
    <w:rsid w:val="007E1993"/>
    <w:rsid w:val="007E1CC9"/>
    <w:rsid w:val="007E30A4"/>
    <w:rsid w:val="007E45E5"/>
    <w:rsid w:val="007E5795"/>
    <w:rsid w:val="007E625F"/>
    <w:rsid w:val="007F1A8F"/>
    <w:rsid w:val="007F50F7"/>
    <w:rsid w:val="00802F26"/>
    <w:rsid w:val="0080788B"/>
    <w:rsid w:val="008102EF"/>
    <w:rsid w:val="00811A83"/>
    <w:rsid w:val="00812088"/>
    <w:rsid w:val="00814E31"/>
    <w:rsid w:val="00814E69"/>
    <w:rsid w:val="008154FB"/>
    <w:rsid w:val="008214EC"/>
    <w:rsid w:val="00821867"/>
    <w:rsid w:val="0082203A"/>
    <w:rsid w:val="00822B3E"/>
    <w:rsid w:val="0082676E"/>
    <w:rsid w:val="00826DF2"/>
    <w:rsid w:val="00830BF8"/>
    <w:rsid w:val="008326DF"/>
    <w:rsid w:val="0083496C"/>
    <w:rsid w:val="00836B34"/>
    <w:rsid w:val="00837A60"/>
    <w:rsid w:val="00837C09"/>
    <w:rsid w:val="00840B77"/>
    <w:rsid w:val="00841390"/>
    <w:rsid w:val="008429BA"/>
    <w:rsid w:val="00842B74"/>
    <w:rsid w:val="008439B5"/>
    <w:rsid w:val="00845EDD"/>
    <w:rsid w:val="00847591"/>
    <w:rsid w:val="00847BAC"/>
    <w:rsid w:val="0085152E"/>
    <w:rsid w:val="0085169D"/>
    <w:rsid w:val="008523FA"/>
    <w:rsid w:val="008527BC"/>
    <w:rsid w:val="0085596E"/>
    <w:rsid w:val="00855F5E"/>
    <w:rsid w:val="008566E0"/>
    <w:rsid w:val="00856A39"/>
    <w:rsid w:val="00857188"/>
    <w:rsid w:val="00860A97"/>
    <w:rsid w:val="0086180E"/>
    <w:rsid w:val="00864981"/>
    <w:rsid w:val="008672E0"/>
    <w:rsid w:val="00867BA6"/>
    <w:rsid w:val="00870DCF"/>
    <w:rsid w:val="0087204E"/>
    <w:rsid w:val="00872567"/>
    <w:rsid w:val="0087318A"/>
    <w:rsid w:val="0087377A"/>
    <w:rsid w:val="00874136"/>
    <w:rsid w:val="008755AF"/>
    <w:rsid w:val="00875CC3"/>
    <w:rsid w:val="00877604"/>
    <w:rsid w:val="00880959"/>
    <w:rsid w:val="00880ACB"/>
    <w:rsid w:val="00885330"/>
    <w:rsid w:val="00885E81"/>
    <w:rsid w:val="00891B76"/>
    <w:rsid w:val="00892ABA"/>
    <w:rsid w:val="00893324"/>
    <w:rsid w:val="00893DF6"/>
    <w:rsid w:val="00894AD8"/>
    <w:rsid w:val="00894B91"/>
    <w:rsid w:val="0089536B"/>
    <w:rsid w:val="00896147"/>
    <w:rsid w:val="00897839"/>
    <w:rsid w:val="008A085B"/>
    <w:rsid w:val="008A414E"/>
    <w:rsid w:val="008A4AA4"/>
    <w:rsid w:val="008B3F6A"/>
    <w:rsid w:val="008B4CB5"/>
    <w:rsid w:val="008B57E5"/>
    <w:rsid w:val="008B635A"/>
    <w:rsid w:val="008C0A10"/>
    <w:rsid w:val="008C137F"/>
    <w:rsid w:val="008C1E2C"/>
    <w:rsid w:val="008C1EE2"/>
    <w:rsid w:val="008C3C25"/>
    <w:rsid w:val="008C5451"/>
    <w:rsid w:val="008C5D19"/>
    <w:rsid w:val="008C75B3"/>
    <w:rsid w:val="008D0E06"/>
    <w:rsid w:val="008D4259"/>
    <w:rsid w:val="008D5071"/>
    <w:rsid w:val="008D5BBA"/>
    <w:rsid w:val="008D6D8C"/>
    <w:rsid w:val="008D79D2"/>
    <w:rsid w:val="008D7D3C"/>
    <w:rsid w:val="008E11E9"/>
    <w:rsid w:val="008E1813"/>
    <w:rsid w:val="008E22E0"/>
    <w:rsid w:val="008E250D"/>
    <w:rsid w:val="008E45ED"/>
    <w:rsid w:val="008E45EF"/>
    <w:rsid w:val="008E479E"/>
    <w:rsid w:val="008E4D95"/>
    <w:rsid w:val="008E5175"/>
    <w:rsid w:val="008E7963"/>
    <w:rsid w:val="008F0094"/>
    <w:rsid w:val="008F1655"/>
    <w:rsid w:val="008F1A60"/>
    <w:rsid w:val="008F1CDB"/>
    <w:rsid w:val="008F22A7"/>
    <w:rsid w:val="008F4318"/>
    <w:rsid w:val="00901C78"/>
    <w:rsid w:val="009036E4"/>
    <w:rsid w:val="009074F7"/>
    <w:rsid w:val="00907DFB"/>
    <w:rsid w:val="00911D06"/>
    <w:rsid w:val="009132E2"/>
    <w:rsid w:val="0091431E"/>
    <w:rsid w:val="00914BC9"/>
    <w:rsid w:val="00916059"/>
    <w:rsid w:val="009210D4"/>
    <w:rsid w:val="00922D70"/>
    <w:rsid w:val="00926CC8"/>
    <w:rsid w:val="00927A71"/>
    <w:rsid w:val="0093136D"/>
    <w:rsid w:val="00932D96"/>
    <w:rsid w:val="00932E5B"/>
    <w:rsid w:val="00933053"/>
    <w:rsid w:val="0093404A"/>
    <w:rsid w:val="009351E1"/>
    <w:rsid w:val="009364A8"/>
    <w:rsid w:val="009364D3"/>
    <w:rsid w:val="009372FE"/>
    <w:rsid w:val="009437BC"/>
    <w:rsid w:val="0094435E"/>
    <w:rsid w:val="00944E94"/>
    <w:rsid w:val="00945F54"/>
    <w:rsid w:val="009519FE"/>
    <w:rsid w:val="009521A8"/>
    <w:rsid w:val="0095281A"/>
    <w:rsid w:val="00952F40"/>
    <w:rsid w:val="00953CE3"/>
    <w:rsid w:val="00953E8D"/>
    <w:rsid w:val="009565AF"/>
    <w:rsid w:val="00957953"/>
    <w:rsid w:val="00957C5A"/>
    <w:rsid w:val="009605EF"/>
    <w:rsid w:val="0096073C"/>
    <w:rsid w:val="00961257"/>
    <w:rsid w:val="0096171F"/>
    <w:rsid w:val="009619F4"/>
    <w:rsid w:val="00962330"/>
    <w:rsid w:val="009630BC"/>
    <w:rsid w:val="009650D7"/>
    <w:rsid w:val="00965109"/>
    <w:rsid w:val="00965CAB"/>
    <w:rsid w:val="009661D5"/>
    <w:rsid w:val="009664B5"/>
    <w:rsid w:val="009669F9"/>
    <w:rsid w:val="00970D24"/>
    <w:rsid w:val="00970F1F"/>
    <w:rsid w:val="00971214"/>
    <w:rsid w:val="009715E6"/>
    <w:rsid w:val="00972703"/>
    <w:rsid w:val="009762E0"/>
    <w:rsid w:val="00977B2B"/>
    <w:rsid w:val="00980484"/>
    <w:rsid w:val="00980780"/>
    <w:rsid w:val="009807F9"/>
    <w:rsid w:val="009816F6"/>
    <w:rsid w:val="00983EF1"/>
    <w:rsid w:val="00984411"/>
    <w:rsid w:val="00985B4E"/>
    <w:rsid w:val="0098738E"/>
    <w:rsid w:val="0098751E"/>
    <w:rsid w:val="0098789B"/>
    <w:rsid w:val="009918F4"/>
    <w:rsid w:val="00991CA4"/>
    <w:rsid w:val="00993108"/>
    <w:rsid w:val="0099454E"/>
    <w:rsid w:val="009951B5"/>
    <w:rsid w:val="00997531"/>
    <w:rsid w:val="00997B9D"/>
    <w:rsid w:val="009A216B"/>
    <w:rsid w:val="009A3362"/>
    <w:rsid w:val="009A439E"/>
    <w:rsid w:val="009A6827"/>
    <w:rsid w:val="009B0078"/>
    <w:rsid w:val="009B1C54"/>
    <w:rsid w:val="009B2C54"/>
    <w:rsid w:val="009B2C85"/>
    <w:rsid w:val="009B3E4D"/>
    <w:rsid w:val="009B505D"/>
    <w:rsid w:val="009B57AC"/>
    <w:rsid w:val="009B66C6"/>
    <w:rsid w:val="009B670A"/>
    <w:rsid w:val="009C0485"/>
    <w:rsid w:val="009C080A"/>
    <w:rsid w:val="009C34CD"/>
    <w:rsid w:val="009C4013"/>
    <w:rsid w:val="009C5786"/>
    <w:rsid w:val="009C5D03"/>
    <w:rsid w:val="009C5EB0"/>
    <w:rsid w:val="009C6E24"/>
    <w:rsid w:val="009C6FF4"/>
    <w:rsid w:val="009D024D"/>
    <w:rsid w:val="009D0365"/>
    <w:rsid w:val="009D2443"/>
    <w:rsid w:val="009D2CF9"/>
    <w:rsid w:val="009D37C7"/>
    <w:rsid w:val="009D3977"/>
    <w:rsid w:val="009D710A"/>
    <w:rsid w:val="009D7239"/>
    <w:rsid w:val="009D7A94"/>
    <w:rsid w:val="009E0BD7"/>
    <w:rsid w:val="009E278C"/>
    <w:rsid w:val="009E515D"/>
    <w:rsid w:val="009E6C62"/>
    <w:rsid w:val="009E6F7A"/>
    <w:rsid w:val="009F0B08"/>
    <w:rsid w:val="009F1A76"/>
    <w:rsid w:val="009F21B1"/>
    <w:rsid w:val="009F24FC"/>
    <w:rsid w:val="009F38E3"/>
    <w:rsid w:val="009F448A"/>
    <w:rsid w:val="009F4B2E"/>
    <w:rsid w:val="009F602F"/>
    <w:rsid w:val="009F7ECC"/>
    <w:rsid w:val="00A01FEC"/>
    <w:rsid w:val="00A03740"/>
    <w:rsid w:val="00A04083"/>
    <w:rsid w:val="00A04A35"/>
    <w:rsid w:val="00A05027"/>
    <w:rsid w:val="00A05BB0"/>
    <w:rsid w:val="00A0665C"/>
    <w:rsid w:val="00A066F2"/>
    <w:rsid w:val="00A0711C"/>
    <w:rsid w:val="00A0743E"/>
    <w:rsid w:val="00A10972"/>
    <w:rsid w:val="00A15783"/>
    <w:rsid w:val="00A1683B"/>
    <w:rsid w:val="00A20A11"/>
    <w:rsid w:val="00A20C50"/>
    <w:rsid w:val="00A2126D"/>
    <w:rsid w:val="00A226E7"/>
    <w:rsid w:val="00A22F5D"/>
    <w:rsid w:val="00A25DD9"/>
    <w:rsid w:val="00A30FE5"/>
    <w:rsid w:val="00A31646"/>
    <w:rsid w:val="00A31C16"/>
    <w:rsid w:val="00A31C7C"/>
    <w:rsid w:val="00A34897"/>
    <w:rsid w:val="00A3570F"/>
    <w:rsid w:val="00A3601D"/>
    <w:rsid w:val="00A367E9"/>
    <w:rsid w:val="00A37669"/>
    <w:rsid w:val="00A401D7"/>
    <w:rsid w:val="00A419DD"/>
    <w:rsid w:val="00A45D69"/>
    <w:rsid w:val="00A46F08"/>
    <w:rsid w:val="00A47D4B"/>
    <w:rsid w:val="00A50A35"/>
    <w:rsid w:val="00A533AF"/>
    <w:rsid w:val="00A535FD"/>
    <w:rsid w:val="00A55376"/>
    <w:rsid w:val="00A55632"/>
    <w:rsid w:val="00A55CDA"/>
    <w:rsid w:val="00A56A5A"/>
    <w:rsid w:val="00A56B73"/>
    <w:rsid w:val="00A56B75"/>
    <w:rsid w:val="00A57D7F"/>
    <w:rsid w:val="00A6059F"/>
    <w:rsid w:val="00A627EF"/>
    <w:rsid w:val="00A6360F"/>
    <w:rsid w:val="00A63BBD"/>
    <w:rsid w:val="00A6405E"/>
    <w:rsid w:val="00A6408A"/>
    <w:rsid w:val="00A6688C"/>
    <w:rsid w:val="00A67D8A"/>
    <w:rsid w:val="00A67FA4"/>
    <w:rsid w:val="00A705D4"/>
    <w:rsid w:val="00A70CDB"/>
    <w:rsid w:val="00A71644"/>
    <w:rsid w:val="00A716FD"/>
    <w:rsid w:val="00A72C64"/>
    <w:rsid w:val="00A7527B"/>
    <w:rsid w:val="00A763FF"/>
    <w:rsid w:val="00A77A1A"/>
    <w:rsid w:val="00A80AFB"/>
    <w:rsid w:val="00A80B66"/>
    <w:rsid w:val="00A82139"/>
    <w:rsid w:val="00A82272"/>
    <w:rsid w:val="00A82FB9"/>
    <w:rsid w:val="00A83269"/>
    <w:rsid w:val="00A86653"/>
    <w:rsid w:val="00A86C2F"/>
    <w:rsid w:val="00A86E57"/>
    <w:rsid w:val="00A874EE"/>
    <w:rsid w:val="00A9301B"/>
    <w:rsid w:val="00A9461E"/>
    <w:rsid w:val="00A94B8F"/>
    <w:rsid w:val="00A96E46"/>
    <w:rsid w:val="00AA00C9"/>
    <w:rsid w:val="00AA02FA"/>
    <w:rsid w:val="00AA0C89"/>
    <w:rsid w:val="00AA1AB1"/>
    <w:rsid w:val="00AA1DE0"/>
    <w:rsid w:val="00AA280B"/>
    <w:rsid w:val="00AA47A7"/>
    <w:rsid w:val="00AA593F"/>
    <w:rsid w:val="00AA64A8"/>
    <w:rsid w:val="00AA780E"/>
    <w:rsid w:val="00AB1809"/>
    <w:rsid w:val="00AB240B"/>
    <w:rsid w:val="00AB3B5E"/>
    <w:rsid w:val="00AB3BF4"/>
    <w:rsid w:val="00AB65BC"/>
    <w:rsid w:val="00AC197D"/>
    <w:rsid w:val="00AC1B78"/>
    <w:rsid w:val="00AC1BE6"/>
    <w:rsid w:val="00AC1FC0"/>
    <w:rsid w:val="00AC6DBB"/>
    <w:rsid w:val="00AC6EFE"/>
    <w:rsid w:val="00AC77B1"/>
    <w:rsid w:val="00AD0491"/>
    <w:rsid w:val="00AD117F"/>
    <w:rsid w:val="00AD135D"/>
    <w:rsid w:val="00AD1881"/>
    <w:rsid w:val="00AD1A00"/>
    <w:rsid w:val="00AD47E4"/>
    <w:rsid w:val="00AD5558"/>
    <w:rsid w:val="00AE062D"/>
    <w:rsid w:val="00AE0C85"/>
    <w:rsid w:val="00AE133A"/>
    <w:rsid w:val="00AE1E6E"/>
    <w:rsid w:val="00AE2CCB"/>
    <w:rsid w:val="00AE3AF4"/>
    <w:rsid w:val="00AF127B"/>
    <w:rsid w:val="00AF24AD"/>
    <w:rsid w:val="00AF26ED"/>
    <w:rsid w:val="00AF3255"/>
    <w:rsid w:val="00B0200A"/>
    <w:rsid w:val="00B04871"/>
    <w:rsid w:val="00B04E5D"/>
    <w:rsid w:val="00B05E98"/>
    <w:rsid w:val="00B06D3D"/>
    <w:rsid w:val="00B0765D"/>
    <w:rsid w:val="00B11CD1"/>
    <w:rsid w:val="00B12570"/>
    <w:rsid w:val="00B12B43"/>
    <w:rsid w:val="00B13836"/>
    <w:rsid w:val="00B1574C"/>
    <w:rsid w:val="00B171FF"/>
    <w:rsid w:val="00B17E37"/>
    <w:rsid w:val="00B20355"/>
    <w:rsid w:val="00B20F4A"/>
    <w:rsid w:val="00B212F8"/>
    <w:rsid w:val="00B24896"/>
    <w:rsid w:val="00B24C14"/>
    <w:rsid w:val="00B26798"/>
    <w:rsid w:val="00B269CC"/>
    <w:rsid w:val="00B274C1"/>
    <w:rsid w:val="00B27DE1"/>
    <w:rsid w:val="00B3057E"/>
    <w:rsid w:val="00B328C3"/>
    <w:rsid w:val="00B3716E"/>
    <w:rsid w:val="00B402D9"/>
    <w:rsid w:val="00B41365"/>
    <w:rsid w:val="00B41D36"/>
    <w:rsid w:val="00B44455"/>
    <w:rsid w:val="00B44591"/>
    <w:rsid w:val="00B45245"/>
    <w:rsid w:val="00B45955"/>
    <w:rsid w:val="00B45D1B"/>
    <w:rsid w:val="00B46006"/>
    <w:rsid w:val="00B4758F"/>
    <w:rsid w:val="00B50AC0"/>
    <w:rsid w:val="00B53CDC"/>
    <w:rsid w:val="00B543C1"/>
    <w:rsid w:val="00B61E07"/>
    <w:rsid w:val="00B64E23"/>
    <w:rsid w:val="00B652AA"/>
    <w:rsid w:val="00B66240"/>
    <w:rsid w:val="00B7215C"/>
    <w:rsid w:val="00B725AF"/>
    <w:rsid w:val="00B74817"/>
    <w:rsid w:val="00B75297"/>
    <w:rsid w:val="00B764AC"/>
    <w:rsid w:val="00B77697"/>
    <w:rsid w:val="00B777FE"/>
    <w:rsid w:val="00B77BFD"/>
    <w:rsid w:val="00B908C5"/>
    <w:rsid w:val="00B912A9"/>
    <w:rsid w:val="00B94342"/>
    <w:rsid w:val="00B97309"/>
    <w:rsid w:val="00B97B6D"/>
    <w:rsid w:val="00BA03D3"/>
    <w:rsid w:val="00BA1181"/>
    <w:rsid w:val="00BA360C"/>
    <w:rsid w:val="00BA4AA7"/>
    <w:rsid w:val="00BA5DD5"/>
    <w:rsid w:val="00BA737D"/>
    <w:rsid w:val="00BA759A"/>
    <w:rsid w:val="00BB1CAE"/>
    <w:rsid w:val="00BB5653"/>
    <w:rsid w:val="00BB63FA"/>
    <w:rsid w:val="00BC09A1"/>
    <w:rsid w:val="00BC0AC2"/>
    <w:rsid w:val="00BC1DDC"/>
    <w:rsid w:val="00BC1E4E"/>
    <w:rsid w:val="00BC282B"/>
    <w:rsid w:val="00BC2FDE"/>
    <w:rsid w:val="00BC432F"/>
    <w:rsid w:val="00BC5761"/>
    <w:rsid w:val="00BC5A01"/>
    <w:rsid w:val="00BC728A"/>
    <w:rsid w:val="00BC7FD9"/>
    <w:rsid w:val="00BD027C"/>
    <w:rsid w:val="00BD04A8"/>
    <w:rsid w:val="00BD0E38"/>
    <w:rsid w:val="00BD13BB"/>
    <w:rsid w:val="00BD7881"/>
    <w:rsid w:val="00BE130B"/>
    <w:rsid w:val="00BE5E38"/>
    <w:rsid w:val="00BE5FDB"/>
    <w:rsid w:val="00BE706C"/>
    <w:rsid w:val="00BE7220"/>
    <w:rsid w:val="00BE7236"/>
    <w:rsid w:val="00BF38CC"/>
    <w:rsid w:val="00C05C81"/>
    <w:rsid w:val="00C05F1E"/>
    <w:rsid w:val="00C071E1"/>
    <w:rsid w:val="00C07A02"/>
    <w:rsid w:val="00C07B45"/>
    <w:rsid w:val="00C07D23"/>
    <w:rsid w:val="00C100B0"/>
    <w:rsid w:val="00C11AC0"/>
    <w:rsid w:val="00C132EF"/>
    <w:rsid w:val="00C1362F"/>
    <w:rsid w:val="00C157CF"/>
    <w:rsid w:val="00C167C6"/>
    <w:rsid w:val="00C20B42"/>
    <w:rsid w:val="00C20CA6"/>
    <w:rsid w:val="00C21E3B"/>
    <w:rsid w:val="00C23598"/>
    <w:rsid w:val="00C23CCF"/>
    <w:rsid w:val="00C23EF8"/>
    <w:rsid w:val="00C251A4"/>
    <w:rsid w:val="00C260DC"/>
    <w:rsid w:val="00C26F12"/>
    <w:rsid w:val="00C270D7"/>
    <w:rsid w:val="00C27698"/>
    <w:rsid w:val="00C31967"/>
    <w:rsid w:val="00C323C6"/>
    <w:rsid w:val="00C324E0"/>
    <w:rsid w:val="00C32661"/>
    <w:rsid w:val="00C41D3B"/>
    <w:rsid w:val="00C43C0E"/>
    <w:rsid w:val="00C43C66"/>
    <w:rsid w:val="00C43CB7"/>
    <w:rsid w:val="00C44EC5"/>
    <w:rsid w:val="00C45800"/>
    <w:rsid w:val="00C464D8"/>
    <w:rsid w:val="00C475A3"/>
    <w:rsid w:val="00C50ECC"/>
    <w:rsid w:val="00C516BF"/>
    <w:rsid w:val="00C55238"/>
    <w:rsid w:val="00C56579"/>
    <w:rsid w:val="00C5731F"/>
    <w:rsid w:val="00C60D65"/>
    <w:rsid w:val="00C61877"/>
    <w:rsid w:val="00C6236A"/>
    <w:rsid w:val="00C64FFC"/>
    <w:rsid w:val="00C6521B"/>
    <w:rsid w:val="00C666A9"/>
    <w:rsid w:val="00C66A80"/>
    <w:rsid w:val="00C6758C"/>
    <w:rsid w:val="00C71420"/>
    <w:rsid w:val="00C71CFC"/>
    <w:rsid w:val="00C7319E"/>
    <w:rsid w:val="00C770D9"/>
    <w:rsid w:val="00C7712D"/>
    <w:rsid w:val="00C80DD9"/>
    <w:rsid w:val="00C81355"/>
    <w:rsid w:val="00C855BC"/>
    <w:rsid w:val="00C8685D"/>
    <w:rsid w:val="00C92426"/>
    <w:rsid w:val="00C95580"/>
    <w:rsid w:val="00C95D46"/>
    <w:rsid w:val="00C964DA"/>
    <w:rsid w:val="00C96865"/>
    <w:rsid w:val="00C96A7A"/>
    <w:rsid w:val="00C96E6A"/>
    <w:rsid w:val="00C97128"/>
    <w:rsid w:val="00C97DD6"/>
    <w:rsid w:val="00CA0881"/>
    <w:rsid w:val="00CA0882"/>
    <w:rsid w:val="00CA08C0"/>
    <w:rsid w:val="00CA2836"/>
    <w:rsid w:val="00CA43DE"/>
    <w:rsid w:val="00CA45BD"/>
    <w:rsid w:val="00CA46AA"/>
    <w:rsid w:val="00CB01C6"/>
    <w:rsid w:val="00CB13DF"/>
    <w:rsid w:val="00CB2223"/>
    <w:rsid w:val="00CB2FDE"/>
    <w:rsid w:val="00CB3FBE"/>
    <w:rsid w:val="00CB4D2F"/>
    <w:rsid w:val="00CB54B6"/>
    <w:rsid w:val="00CB74F8"/>
    <w:rsid w:val="00CC25A0"/>
    <w:rsid w:val="00CC5F9F"/>
    <w:rsid w:val="00CD0C78"/>
    <w:rsid w:val="00CD0D80"/>
    <w:rsid w:val="00CD201B"/>
    <w:rsid w:val="00CD2798"/>
    <w:rsid w:val="00CD2C11"/>
    <w:rsid w:val="00CD4E07"/>
    <w:rsid w:val="00CD6538"/>
    <w:rsid w:val="00CD7474"/>
    <w:rsid w:val="00CE0549"/>
    <w:rsid w:val="00CE209B"/>
    <w:rsid w:val="00CE494C"/>
    <w:rsid w:val="00CE5E28"/>
    <w:rsid w:val="00CE6CF1"/>
    <w:rsid w:val="00CF08E9"/>
    <w:rsid w:val="00CF0B3C"/>
    <w:rsid w:val="00CF2AF6"/>
    <w:rsid w:val="00CF362E"/>
    <w:rsid w:val="00CF3661"/>
    <w:rsid w:val="00CF3C27"/>
    <w:rsid w:val="00CF3D25"/>
    <w:rsid w:val="00CF4DAB"/>
    <w:rsid w:val="00CF56F0"/>
    <w:rsid w:val="00CF750D"/>
    <w:rsid w:val="00CF785D"/>
    <w:rsid w:val="00D03334"/>
    <w:rsid w:val="00D0334E"/>
    <w:rsid w:val="00D07A7D"/>
    <w:rsid w:val="00D11FC0"/>
    <w:rsid w:val="00D12662"/>
    <w:rsid w:val="00D13060"/>
    <w:rsid w:val="00D1484D"/>
    <w:rsid w:val="00D20E80"/>
    <w:rsid w:val="00D212D1"/>
    <w:rsid w:val="00D235A1"/>
    <w:rsid w:val="00D247BB"/>
    <w:rsid w:val="00D30BC5"/>
    <w:rsid w:val="00D30D6D"/>
    <w:rsid w:val="00D31406"/>
    <w:rsid w:val="00D3196F"/>
    <w:rsid w:val="00D328C5"/>
    <w:rsid w:val="00D33CA8"/>
    <w:rsid w:val="00D35734"/>
    <w:rsid w:val="00D36EC2"/>
    <w:rsid w:val="00D410D2"/>
    <w:rsid w:val="00D41B35"/>
    <w:rsid w:val="00D42312"/>
    <w:rsid w:val="00D42DFF"/>
    <w:rsid w:val="00D434BB"/>
    <w:rsid w:val="00D43FE3"/>
    <w:rsid w:val="00D455BA"/>
    <w:rsid w:val="00D46CE8"/>
    <w:rsid w:val="00D508BE"/>
    <w:rsid w:val="00D52F87"/>
    <w:rsid w:val="00D53EC8"/>
    <w:rsid w:val="00D54265"/>
    <w:rsid w:val="00D542C6"/>
    <w:rsid w:val="00D577D9"/>
    <w:rsid w:val="00D60E53"/>
    <w:rsid w:val="00D61651"/>
    <w:rsid w:val="00D61FB8"/>
    <w:rsid w:val="00D637FA"/>
    <w:rsid w:val="00D66EFC"/>
    <w:rsid w:val="00D8096E"/>
    <w:rsid w:val="00D81001"/>
    <w:rsid w:val="00D81354"/>
    <w:rsid w:val="00D83E6B"/>
    <w:rsid w:val="00D84A65"/>
    <w:rsid w:val="00D872EC"/>
    <w:rsid w:val="00D90257"/>
    <w:rsid w:val="00D91670"/>
    <w:rsid w:val="00D922DE"/>
    <w:rsid w:val="00D92846"/>
    <w:rsid w:val="00D93560"/>
    <w:rsid w:val="00D93D3C"/>
    <w:rsid w:val="00D94177"/>
    <w:rsid w:val="00D94E9A"/>
    <w:rsid w:val="00D95486"/>
    <w:rsid w:val="00D95CB8"/>
    <w:rsid w:val="00DA0751"/>
    <w:rsid w:val="00DA141E"/>
    <w:rsid w:val="00DA165A"/>
    <w:rsid w:val="00DA1C73"/>
    <w:rsid w:val="00DA2E01"/>
    <w:rsid w:val="00DA517B"/>
    <w:rsid w:val="00DA6147"/>
    <w:rsid w:val="00DA6BE7"/>
    <w:rsid w:val="00DB046E"/>
    <w:rsid w:val="00DB17ED"/>
    <w:rsid w:val="00DB18AB"/>
    <w:rsid w:val="00DB5580"/>
    <w:rsid w:val="00DB5D0C"/>
    <w:rsid w:val="00DB7D0D"/>
    <w:rsid w:val="00DB7F93"/>
    <w:rsid w:val="00DC1450"/>
    <w:rsid w:val="00DC15F4"/>
    <w:rsid w:val="00DC225F"/>
    <w:rsid w:val="00DC3C88"/>
    <w:rsid w:val="00DC4177"/>
    <w:rsid w:val="00DC4C6B"/>
    <w:rsid w:val="00DC5D96"/>
    <w:rsid w:val="00DC6112"/>
    <w:rsid w:val="00DD1365"/>
    <w:rsid w:val="00DD1647"/>
    <w:rsid w:val="00DD2375"/>
    <w:rsid w:val="00DD2595"/>
    <w:rsid w:val="00DD38CF"/>
    <w:rsid w:val="00DD5C9D"/>
    <w:rsid w:val="00DD5F8E"/>
    <w:rsid w:val="00DD6728"/>
    <w:rsid w:val="00DD68D2"/>
    <w:rsid w:val="00DD72E3"/>
    <w:rsid w:val="00DE11EC"/>
    <w:rsid w:val="00DE2921"/>
    <w:rsid w:val="00DE3036"/>
    <w:rsid w:val="00DE3D65"/>
    <w:rsid w:val="00DE62BE"/>
    <w:rsid w:val="00DE6344"/>
    <w:rsid w:val="00DE6E94"/>
    <w:rsid w:val="00DE706F"/>
    <w:rsid w:val="00DE78EE"/>
    <w:rsid w:val="00DF0461"/>
    <w:rsid w:val="00DF1C7C"/>
    <w:rsid w:val="00DF2251"/>
    <w:rsid w:val="00DF3C9B"/>
    <w:rsid w:val="00DF3ED2"/>
    <w:rsid w:val="00DF5DEC"/>
    <w:rsid w:val="00DF67F3"/>
    <w:rsid w:val="00DF6E73"/>
    <w:rsid w:val="00DF7500"/>
    <w:rsid w:val="00E001B0"/>
    <w:rsid w:val="00E005C8"/>
    <w:rsid w:val="00E00E5D"/>
    <w:rsid w:val="00E01092"/>
    <w:rsid w:val="00E0169E"/>
    <w:rsid w:val="00E0283A"/>
    <w:rsid w:val="00E02AA6"/>
    <w:rsid w:val="00E038A0"/>
    <w:rsid w:val="00E0476E"/>
    <w:rsid w:val="00E05C66"/>
    <w:rsid w:val="00E065B7"/>
    <w:rsid w:val="00E1136E"/>
    <w:rsid w:val="00E12850"/>
    <w:rsid w:val="00E1299B"/>
    <w:rsid w:val="00E12F04"/>
    <w:rsid w:val="00E14A9F"/>
    <w:rsid w:val="00E14C8A"/>
    <w:rsid w:val="00E1725F"/>
    <w:rsid w:val="00E17AC1"/>
    <w:rsid w:val="00E200F9"/>
    <w:rsid w:val="00E20E67"/>
    <w:rsid w:val="00E20FC5"/>
    <w:rsid w:val="00E22009"/>
    <w:rsid w:val="00E2247C"/>
    <w:rsid w:val="00E22F51"/>
    <w:rsid w:val="00E22FB7"/>
    <w:rsid w:val="00E25F48"/>
    <w:rsid w:val="00E306D0"/>
    <w:rsid w:val="00E30B84"/>
    <w:rsid w:val="00E30D99"/>
    <w:rsid w:val="00E3249D"/>
    <w:rsid w:val="00E3406B"/>
    <w:rsid w:val="00E3493B"/>
    <w:rsid w:val="00E35E43"/>
    <w:rsid w:val="00E37457"/>
    <w:rsid w:val="00E40BA5"/>
    <w:rsid w:val="00E41EB6"/>
    <w:rsid w:val="00E42E7C"/>
    <w:rsid w:val="00E434F6"/>
    <w:rsid w:val="00E43540"/>
    <w:rsid w:val="00E446D4"/>
    <w:rsid w:val="00E45551"/>
    <w:rsid w:val="00E47567"/>
    <w:rsid w:val="00E475E4"/>
    <w:rsid w:val="00E50C78"/>
    <w:rsid w:val="00E516FC"/>
    <w:rsid w:val="00E51AA8"/>
    <w:rsid w:val="00E51D5E"/>
    <w:rsid w:val="00E52D84"/>
    <w:rsid w:val="00E52FAF"/>
    <w:rsid w:val="00E53E68"/>
    <w:rsid w:val="00E551AB"/>
    <w:rsid w:val="00E55368"/>
    <w:rsid w:val="00E579B9"/>
    <w:rsid w:val="00E579EB"/>
    <w:rsid w:val="00E60125"/>
    <w:rsid w:val="00E603B7"/>
    <w:rsid w:val="00E604CB"/>
    <w:rsid w:val="00E619E0"/>
    <w:rsid w:val="00E62CD5"/>
    <w:rsid w:val="00E62DE8"/>
    <w:rsid w:val="00E65124"/>
    <w:rsid w:val="00E65438"/>
    <w:rsid w:val="00E65921"/>
    <w:rsid w:val="00E66851"/>
    <w:rsid w:val="00E6795A"/>
    <w:rsid w:val="00E67F37"/>
    <w:rsid w:val="00E74219"/>
    <w:rsid w:val="00E751B7"/>
    <w:rsid w:val="00E75673"/>
    <w:rsid w:val="00E7640D"/>
    <w:rsid w:val="00E76444"/>
    <w:rsid w:val="00E809CD"/>
    <w:rsid w:val="00E81255"/>
    <w:rsid w:val="00E82680"/>
    <w:rsid w:val="00E82B51"/>
    <w:rsid w:val="00E82BCE"/>
    <w:rsid w:val="00E8300A"/>
    <w:rsid w:val="00E83EBE"/>
    <w:rsid w:val="00E84953"/>
    <w:rsid w:val="00E8557A"/>
    <w:rsid w:val="00E85735"/>
    <w:rsid w:val="00E86F43"/>
    <w:rsid w:val="00E87717"/>
    <w:rsid w:val="00E90D04"/>
    <w:rsid w:val="00E95AB3"/>
    <w:rsid w:val="00EA05B2"/>
    <w:rsid w:val="00EA16D7"/>
    <w:rsid w:val="00EA521B"/>
    <w:rsid w:val="00EA5546"/>
    <w:rsid w:val="00EA5982"/>
    <w:rsid w:val="00EA6C03"/>
    <w:rsid w:val="00EA7262"/>
    <w:rsid w:val="00EB0AF3"/>
    <w:rsid w:val="00EB13A1"/>
    <w:rsid w:val="00EB1D9C"/>
    <w:rsid w:val="00EB2A65"/>
    <w:rsid w:val="00EB34D5"/>
    <w:rsid w:val="00EB44FB"/>
    <w:rsid w:val="00EB47C0"/>
    <w:rsid w:val="00EB5378"/>
    <w:rsid w:val="00EB5678"/>
    <w:rsid w:val="00EB6EB4"/>
    <w:rsid w:val="00EB7786"/>
    <w:rsid w:val="00EC0050"/>
    <w:rsid w:val="00EC1249"/>
    <w:rsid w:val="00EC3BD3"/>
    <w:rsid w:val="00EC3FB5"/>
    <w:rsid w:val="00EC4473"/>
    <w:rsid w:val="00EC5649"/>
    <w:rsid w:val="00EC5784"/>
    <w:rsid w:val="00EC6939"/>
    <w:rsid w:val="00EC6A6D"/>
    <w:rsid w:val="00EC7FBE"/>
    <w:rsid w:val="00ED0CB5"/>
    <w:rsid w:val="00ED33A9"/>
    <w:rsid w:val="00ED59E8"/>
    <w:rsid w:val="00ED777D"/>
    <w:rsid w:val="00EE05C9"/>
    <w:rsid w:val="00EE2086"/>
    <w:rsid w:val="00EE487E"/>
    <w:rsid w:val="00EE4E01"/>
    <w:rsid w:val="00EE6723"/>
    <w:rsid w:val="00EE687E"/>
    <w:rsid w:val="00EE7237"/>
    <w:rsid w:val="00EE76AD"/>
    <w:rsid w:val="00EF199C"/>
    <w:rsid w:val="00EF29A7"/>
    <w:rsid w:val="00EF3238"/>
    <w:rsid w:val="00EF3BB1"/>
    <w:rsid w:val="00EF4DF3"/>
    <w:rsid w:val="00EF552B"/>
    <w:rsid w:val="00EF58E6"/>
    <w:rsid w:val="00F00C99"/>
    <w:rsid w:val="00F01CF8"/>
    <w:rsid w:val="00F0233B"/>
    <w:rsid w:val="00F054DD"/>
    <w:rsid w:val="00F0617D"/>
    <w:rsid w:val="00F0773E"/>
    <w:rsid w:val="00F101E9"/>
    <w:rsid w:val="00F10478"/>
    <w:rsid w:val="00F1272B"/>
    <w:rsid w:val="00F13F4D"/>
    <w:rsid w:val="00F14581"/>
    <w:rsid w:val="00F1749C"/>
    <w:rsid w:val="00F17F2B"/>
    <w:rsid w:val="00F2018C"/>
    <w:rsid w:val="00F21B1F"/>
    <w:rsid w:val="00F21E13"/>
    <w:rsid w:val="00F26DA2"/>
    <w:rsid w:val="00F27415"/>
    <w:rsid w:val="00F27915"/>
    <w:rsid w:val="00F33F6E"/>
    <w:rsid w:val="00F340B5"/>
    <w:rsid w:val="00F34C46"/>
    <w:rsid w:val="00F367B3"/>
    <w:rsid w:val="00F37B87"/>
    <w:rsid w:val="00F417F0"/>
    <w:rsid w:val="00F418D4"/>
    <w:rsid w:val="00F43069"/>
    <w:rsid w:val="00F4333A"/>
    <w:rsid w:val="00F45099"/>
    <w:rsid w:val="00F45F72"/>
    <w:rsid w:val="00F470B1"/>
    <w:rsid w:val="00F47135"/>
    <w:rsid w:val="00F472D7"/>
    <w:rsid w:val="00F47D95"/>
    <w:rsid w:val="00F50450"/>
    <w:rsid w:val="00F517C8"/>
    <w:rsid w:val="00F53665"/>
    <w:rsid w:val="00F541FC"/>
    <w:rsid w:val="00F547B4"/>
    <w:rsid w:val="00F56E9E"/>
    <w:rsid w:val="00F57727"/>
    <w:rsid w:val="00F57C53"/>
    <w:rsid w:val="00F62C3F"/>
    <w:rsid w:val="00F64483"/>
    <w:rsid w:val="00F64CFB"/>
    <w:rsid w:val="00F6553C"/>
    <w:rsid w:val="00F655F4"/>
    <w:rsid w:val="00F67F4F"/>
    <w:rsid w:val="00F7076B"/>
    <w:rsid w:val="00F70AB5"/>
    <w:rsid w:val="00F719DB"/>
    <w:rsid w:val="00F71EF5"/>
    <w:rsid w:val="00F7288F"/>
    <w:rsid w:val="00F734AA"/>
    <w:rsid w:val="00F74964"/>
    <w:rsid w:val="00F7567C"/>
    <w:rsid w:val="00F75DD9"/>
    <w:rsid w:val="00F75FC9"/>
    <w:rsid w:val="00F765D1"/>
    <w:rsid w:val="00F76D5A"/>
    <w:rsid w:val="00F800DD"/>
    <w:rsid w:val="00F818F7"/>
    <w:rsid w:val="00F82A39"/>
    <w:rsid w:val="00F82B18"/>
    <w:rsid w:val="00F82BDE"/>
    <w:rsid w:val="00F832F3"/>
    <w:rsid w:val="00F837D4"/>
    <w:rsid w:val="00F843EB"/>
    <w:rsid w:val="00F90C2F"/>
    <w:rsid w:val="00F9117B"/>
    <w:rsid w:val="00F911C5"/>
    <w:rsid w:val="00F95CAE"/>
    <w:rsid w:val="00F97882"/>
    <w:rsid w:val="00FA12C1"/>
    <w:rsid w:val="00FA15FE"/>
    <w:rsid w:val="00FA1F23"/>
    <w:rsid w:val="00FA2F57"/>
    <w:rsid w:val="00FA56FF"/>
    <w:rsid w:val="00FA57FC"/>
    <w:rsid w:val="00FB0461"/>
    <w:rsid w:val="00FB0645"/>
    <w:rsid w:val="00FB28CD"/>
    <w:rsid w:val="00FB2F01"/>
    <w:rsid w:val="00FB4B2D"/>
    <w:rsid w:val="00FB6343"/>
    <w:rsid w:val="00FB6965"/>
    <w:rsid w:val="00FC252D"/>
    <w:rsid w:val="00FC2B8A"/>
    <w:rsid w:val="00FC36F0"/>
    <w:rsid w:val="00FC3D22"/>
    <w:rsid w:val="00FC4C3D"/>
    <w:rsid w:val="00FC53D5"/>
    <w:rsid w:val="00FD26B1"/>
    <w:rsid w:val="00FD3167"/>
    <w:rsid w:val="00FD321D"/>
    <w:rsid w:val="00FD3262"/>
    <w:rsid w:val="00FD5631"/>
    <w:rsid w:val="00FD6DA0"/>
    <w:rsid w:val="00FD72FE"/>
    <w:rsid w:val="00FD775D"/>
    <w:rsid w:val="00FD7936"/>
    <w:rsid w:val="00FE0F9A"/>
    <w:rsid w:val="00FE18A8"/>
    <w:rsid w:val="00FE1D19"/>
    <w:rsid w:val="00FE3B09"/>
    <w:rsid w:val="00FE4949"/>
    <w:rsid w:val="00FE572C"/>
    <w:rsid w:val="00FE5E6A"/>
    <w:rsid w:val="00FE7009"/>
    <w:rsid w:val="00FE7502"/>
    <w:rsid w:val="00FF0F2C"/>
    <w:rsid w:val="00FF1E27"/>
    <w:rsid w:val="00FF3AD0"/>
    <w:rsid w:val="00FF432B"/>
    <w:rsid w:val="00FF4BB1"/>
    <w:rsid w:val="00FF5970"/>
    <w:rsid w:val="00FF5F6A"/>
    <w:rsid w:val="00FF635D"/>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2EF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63"/>
    <w:pPr>
      <w:spacing w:line="360" w:lineRule="auto"/>
    </w:pPr>
  </w:style>
  <w:style w:type="paragraph" w:styleId="Heading1">
    <w:name w:val="heading 1"/>
    <w:basedOn w:val="Normal"/>
    <w:next w:val="Normal"/>
    <w:link w:val="Heading1Char"/>
    <w:uiPriority w:val="9"/>
    <w:qFormat/>
    <w:rsid w:val="001534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eber-HeadingA">
    <w:name w:val="Roeber-HeadingA"/>
    <w:basedOn w:val="Normal"/>
    <w:next w:val="Normal"/>
    <w:qFormat/>
    <w:rsid w:val="00786ADC"/>
    <w:pPr>
      <w:spacing w:before="360" w:after="120" w:line="264" w:lineRule="auto"/>
    </w:pPr>
    <w:rPr>
      <w:rFonts w:eastAsia="Times New Roman" w:cs="Times New Roman"/>
      <w:b/>
      <w:color w:val="000000"/>
      <w:sz w:val="29"/>
      <w:szCs w:val="25"/>
      <w:lang w:val="en-GB" w:eastAsia="en-GB"/>
    </w:rPr>
  </w:style>
  <w:style w:type="paragraph" w:customStyle="1" w:styleId="Title-Ting">
    <w:name w:val="Title-Ting"/>
    <w:basedOn w:val="Roeber-HeadingA"/>
    <w:rsid w:val="00786ADC"/>
  </w:style>
  <w:style w:type="paragraph" w:styleId="ListParagraph">
    <w:name w:val="List Paragraph"/>
    <w:basedOn w:val="Normal"/>
    <w:uiPriority w:val="34"/>
    <w:qFormat/>
    <w:rsid w:val="00786ADC"/>
    <w:pPr>
      <w:spacing w:after="0" w:line="240" w:lineRule="auto"/>
      <w:ind w:left="720"/>
      <w:contextualSpacing/>
    </w:pPr>
  </w:style>
  <w:style w:type="paragraph" w:customStyle="1" w:styleId="Ting-CasePremise">
    <w:name w:val="Ting-Case/Premise"/>
    <w:basedOn w:val="Normal"/>
    <w:qFormat/>
    <w:rsid w:val="00E76444"/>
    <w:pPr>
      <w:ind w:left="720" w:right="720"/>
    </w:pPr>
    <w:rPr>
      <w:lang w:val="en-GB" w:eastAsia="en-GB"/>
    </w:rPr>
  </w:style>
  <w:style w:type="paragraph" w:customStyle="1" w:styleId="Ting-Heading2">
    <w:name w:val="Ting-Heading 2"/>
    <w:basedOn w:val="Normal"/>
    <w:qFormat/>
    <w:rsid w:val="001534E4"/>
    <w:rPr>
      <w:i/>
      <w:iCs/>
      <w:lang w:val="en-GB" w:eastAsia="en-GB"/>
    </w:rPr>
  </w:style>
  <w:style w:type="character" w:customStyle="1" w:styleId="Heading1Char">
    <w:name w:val="Heading 1 Char"/>
    <w:basedOn w:val="DefaultParagraphFont"/>
    <w:link w:val="Heading1"/>
    <w:uiPriority w:val="9"/>
    <w:rsid w:val="001534E4"/>
    <w:rPr>
      <w:rFonts w:asciiTheme="majorHAnsi" w:eastAsiaTheme="majorEastAsia" w:hAnsiTheme="majorHAnsi" w:cstheme="majorBidi"/>
      <w:color w:val="2F5496" w:themeColor="accent1" w:themeShade="BF"/>
      <w:sz w:val="32"/>
      <w:szCs w:val="32"/>
    </w:rPr>
  </w:style>
  <w:style w:type="paragraph" w:customStyle="1" w:styleId="Ting-Heading3">
    <w:name w:val="Ting-Heading 3"/>
    <w:basedOn w:val="Ting-Heading2"/>
    <w:qFormat/>
    <w:rsid w:val="001534E4"/>
    <w:rPr>
      <w:i w:val="0"/>
      <w:iCs w:val="0"/>
      <w:u w:val="single"/>
    </w:rPr>
  </w:style>
  <w:style w:type="paragraph" w:styleId="Header">
    <w:name w:val="header"/>
    <w:basedOn w:val="Normal"/>
    <w:link w:val="HeaderChar"/>
    <w:uiPriority w:val="99"/>
    <w:unhideWhenUsed/>
    <w:rsid w:val="00BD0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27C"/>
  </w:style>
  <w:style w:type="paragraph" w:styleId="Footer">
    <w:name w:val="footer"/>
    <w:basedOn w:val="Normal"/>
    <w:link w:val="FooterChar"/>
    <w:uiPriority w:val="99"/>
    <w:unhideWhenUsed/>
    <w:rsid w:val="00BD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27C"/>
  </w:style>
  <w:style w:type="paragraph" w:styleId="FootnoteText">
    <w:name w:val="footnote text"/>
    <w:basedOn w:val="Normal"/>
    <w:link w:val="FootnoteTextChar"/>
    <w:uiPriority w:val="99"/>
    <w:unhideWhenUsed/>
    <w:rsid w:val="00E12F04"/>
    <w:pPr>
      <w:spacing w:after="0" w:line="240" w:lineRule="auto"/>
    </w:pPr>
    <w:rPr>
      <w:sz w:val="20"/>
      <w:szCs w:val="20"/>
    </w:rPr>
  </w:style>
  <w:style w:type="character" w:customStyle="1" w:styleId="FootnoteTextChar">
    <w:name w:val="Footnote Text Char"/>
    <w:basedOn w:val="DefaultParagraphFont"/>
    <w:link w:val="FootnoteText"/>
    <w:uiPriority w:val="99"/>
    <w:rsid w:val="00E12F04"/>
    <w:rPr>
      <w:sz w:val="20"/>
      <w:szCs w:val="20"/>
    </w:rPr>
  </w:style>
  <w:style w:type="character" w:styleId="FootnoteReference">
    <w:name w:val="footnote reference"/>
    <w:basedOn w:val="DefaultParagraphFont"/>
    <w:uiPriority w:val="99"/>
    <w:semiHidden/>
    <w:unhideWhenUsed/>
    <w:rsid w:val="00E12F04"/>
    <w:rPr>
      <w:vertAlign w:val="superscript"/>
    </w:rPr>
  </w:style>
  <w:style w:type="character" w:styleId="LineNumber">
    <w:name w:val="line number"/>
    <w:basedOn w:val="DefaultParagraphFont"/>
    <w:uiPriority w:val="99"/>
    <w:semiHidden/>
    <w:unhideWhenUsed/>
    <w:rsid w:val="00510123"/>
  </w:style>
  <w:style w:type="character" w:styleId="CommentReference">
    <w:name w:val="annotation reference"/>
    <w:basedOn w:val="DefaultParagraphFont"/>
    <w:uiPriority w:val="99"/>
    <w:semiHidden/>
    <w:unhideWhenUsed/>
    <w:rsid w:val="009F1A76"/>
    <w:rPr>
      <w:sz w:val="16"/>
      <w:szCs w:val="16"/>
    </w:rPr>
  </w:style>
  <w:style w:type="paragraph" w:styleId="CommentText">
    <w:name w:val="annotation text"/>
    <w:basedOn w:val="Normal"/>
    <w:link w:val="CommentTextChar"/>
    <w:uiPriority w:val="99"/>
    <w:semiHidden/>
    <w:unhideWhenUsed/>
    <w:rsid w:val="009F1A76"/>
    <w:pPr>
      <w:spacing w:line="240" w:lineRule="auto"/>
    </w:pPr>
    <w:rPr>
      <w:sz w:val="20"/>
      <w:szCs w:val="20"/>
    </w:rPr>
  </w:style>
  <w:style w:type="character" w:customStyle="1" w:styleId="CommentTextChar">
    <w:name w:val="Comment Text Char"/>
    <w:basedOn w:val="DefaultParagraphFont"/>
    <w:link w:val="CommentText"/>
    <w:uiPriority w:val="99"/>
    <w:semiHidden/>
    <w:rsid w:val="009F1A76"/>
    <w:rPr>
      <w:sz w:val="20"/>
      <w:szCs w:val="20"/>
    </w:rPr>
  </w:style>
  <w:style w:type="paragraph" w:styleId="CommentSubject">
    <w:name w:val="annotation subject"/>
    <w:basedOn w:val="CommentText"/>
    <w:next w:val="CommentText"/>
    <w:link w:val="CommentSubjectChar"/>
    <w:uiPriority w:val="99"/>
    <w:semiHidden/>
    <w:unhideWhenUsed/>
    <w:rsid w:val="009F1A76"/>
    <w:rPr>
      <w:b/>
      <w:bCs/>
    </w:rPr>
  </w:style>
  <w:style w:type="character" w:customStyle="1" w:styleId="CommentSubjectChar">
    <w:name w:val="Comment Subject Char"/>
    <w:basedOn w:val="CommentTextChar"/>
    <w:link w:val="CommentSubject"/>
    <w:uiPriority w:val="99"/>
    <w:semiHidden/>
    <w:rsid w:val="009F1A76"/>
    <w:rPr>
      <w:b/>
      <w:bCs/>
      <w:sz w:val="20"/>
      <w:szCs w:val="20"/>
    </w:rPr>
  </w:style>
  <w:style w:type="paragraph" w:styleId="BalloonText">
    <w:name w:val="Balloon Text"/>
    <w:basedOn w:val="Normal"/>
    <w:link w:val="BalloonTextChar"/>
    <w:uiPriority w:val="99"/>
    <w:semiHidden/>
    <w:unhideWhenUsed/>
    <w:rsid w:val="009F1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76"/>
    <w:rPr>
      <w:rFonts w:ascii="Segoe UI" w:hAnsi="Segoe UI" w:cs="Segoe UI"/>
      <w:sz w:val="18"/>
      <w:szCs w:val="18"/>
    </w:rPr>
  </w:style>
  <w:style w:type="character" w:styleId="Emphasis">
    <w:name w:val="Emphasis"/>
    <w:basedOn w:val="DefaultParagraphFont"/>
    <w:uiPriority w:val="20"/>
    <w:qFormat/>
    <w:rsid w:val="00E47567"/>
    <w:rPr>
      <w:i/>
      <w:iCs/>
    </w:rPr>
  </w:style>
  <w:style w:type="character" w:styleId="Hyperlink">
    <w:name w:val="Hyperlink"/>
    <w:basedOn w:val="DefaultParagraphFont"/>
    <w:uiPriority w:val="99"/>
    <w:unhideWhenUsed/>
    <w:rsid w:val="001217EF"/>
    <w:rPr>
      <w:color w:val="0563C1" w:themeColor="hyperlink"/>
      <w:u w:val="single"/>
    </w:rPr>
  </w:style>
  <w:style w:type="character" w:styleId="UnresolvedMention">
    <w:name w:val="Unresolved Mention"/>
    <w:basedOn w:val="DefaultParagraphFont"/>
    <w:uiPriority w:val="99"/>
    <w:semiHidden/>
    <w:unhideWhenUsed/>
    <w:rsid w:val="00121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4032">
      <w:bodyDiv w:val="1"/>
      <w:marLeft w:val="0"/>
      <w:marRight w:val="0"/>
      <w:marTop w:val="0"/>
      <w:marBottom w:val="0"/>
      <w:divBdr>
        <w:top w:val="none" w:sz="0" w:space="0" w:color="auto"/>
        <w:left w:val="none" w:sz="0" w:space="0" w:color="auto"/>
        <w:bottom w:val="none" w:sz="0" w:space="0" w:color="auto"/>
        <w:right w:val="none" w:sz="0" w:space="0" w:color="auto"/>
      </w:divBdr>
    </w:div>
    <w:div w:id="18874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nous.123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ilpapers.org/archive/MUOF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98C3-7EF8-4BA7-ABA1-407D8B22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8335</Words>
  <Characters>42593</Characters>
  <Application>Microsoft Office Word</Application>
  <DocSecurity>0</DocSecurity>
  <Lines>583</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2022-03-29T16:42:00Z</dcterms:created>
  <dcterms:modified xsi:type="dcterms:W3CDTF">2022-05-20T14:04:00Z</dcterms:modified>
</cp:coreProperties>
</file>